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57" w:after="0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  <w:t xml:space="preserve">karta przedmiotu/modułu/Sylabus przedmiotowy </w:t>
      </w:r>
    </w:p>
    <w:p>
      <w:pPr>
        <w:pStyle w:val="Section"/>
        <w:shd w:val="clear" w:fill="FFFFFF"/>
        <w:bidi w:val="0"/>
        <w:spacing w:before="227" w:after="57"/>
        <w:jc w:val="left"/>
        <w:rPr>
          <w:b/>
          <w:b/>
          <w:bCs/>
        </w:rPr>
      </w:pPr>
      <w:r>
        <w:rPr>
          <w:b/>
          <w:bCs/>
        </w:rPr>
        <w:t>1.  Przedmiot i jego usytuowanie w systemie studiów</w:t>
      </w:r>
    </w:p>
    <w:tbl>
      <w:tblPr>
        <w:tblW w:w="9606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217"/>
        <w:gridCol w:w="5388"/>
      </w:tblGrid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/>
            </w:pPr>
            <w:r>
              <w:rPr>
                <w:rFonts w:cs="Calibri"/>
                <w:i/>
                <w:sz w:val="24"/>
                <w:szCs w:val="24"/>
              </w:rPr>
              <w:t>Jednostka prowadząca kierunek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iCs/>
                <w:sz w:val="24"/>
                <w:szCs w:val="24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Nazwa kierunku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Forma prowadzenia </w:t>
            </w:r>
            <w:r>
              <w:rPr>
                <w:i/>
                <w:sz w:val="22"/>
                <w:szCs w:val="22"/>
              </w:rPr>
              <w:t>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iCs/>
                <w:sz w:val="24"/>
                <w:szCs w:val="24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b/>
                <w:iCs/>
                <w:sz w:val="24"/>
                <w:szCs w:val="24"/>
              </w:rPr>
              <w:t>Computer Assisted Translation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>
                <w:rFonts w:ascii="Calibri" w:hAnsi="Calibri" w:cs="Calibri"/>
                <w:sz w:val="20"/>
              </w:rPr>
            </w:pPr>
            <w:r>
              <w:rPr>
                <w:rFonts w:cs="Calibri"/>
                <w:sz w:val="20"/>
                <w:szCs w:val="20"/>
              </w:rPr>
              <w:t>IHM-PP-BE-2017-05</w:t>
            </w:r>
          </w:p>
        </w:tc>
      </w:tr>
      <w:tr>
        <w:trPr>
          <w:trHeight w:val="53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Przedmiot kształcenia w ramach specjalizacji</w:t>
            </w:r>
          </w:p>
        </w:tc>
      </w:tr>
      <w:tr>
        <w:trPr>
          <w:trHeight w:val="559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Semestr II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426" w:leader="none"/>
              </w:tabs>
              <w:spacing w:before="57" w:after="0"/>
              <w:ind w:left="426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mgr Paweł Cisło</w:t>
            </w:r>
          </w:p>
        </w:tc>
      </w:tr>
    </w:tbl>
    <w:p>
      <w:pPr>
        <w:pStyle w:val="Section"/>
        <w:shd w:val="clear" w:fill="FFFFFF"/>
        <w:rPr/>
      </w:pPr>
      <w:r>
        <w:rPr>
          <w:b/>
          <w:sz w:val="24"/>
          <w:szCs w:val="24"/>
        </w:rPr>
        <w:t xml:space="preserve">2. Formy zajęć dydaktycznych i ich wymiar 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i/>
          <w:sz w:val="24"/>
          <w:szCs w:val="24"/>
        </w:rPr>
        <w:t>(ilość godzin)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65"/>
        <w:gridCol w:w="1230"/>
        <w:gridCol w:w="1989"/>
        <w:gridCol w:w="1553"/>
        <w:gridCol w:w="1147"/>
        <w:gridCol w:w="1532"/>
        <w:gridCol w:w="1146"/>
      </w:tblGrid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Konwersatorium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DK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Laboratorium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  <w:p>
            <w:pPr>
              <w:pStyle w:val="Normal"/>
              <w:spacing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DS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DPZ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shd w:fill="FFFF00" w:val="clear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ection"/>
        <w:shd w:val="clear" w:fill="FFFFFF"/>
        <w:bidi w:val="0"/>
        <w:spacing w:before="283" w:after="57"/>
        <w:jc w:val="left"/>
        <w:rPr/>
      </w:pPr>
      <w:r>
        <w:rPr>
          <w:b/>
          <w:sz w:val="24"/>
          <w:szCs w:val="24"/>
        </w:rPr>
        <w:t>3. Wymagania wstępne w zakresie wiedzy, umiejętności i innych kompetencji</w:t>
      </w:r>
    </w:p>
    <w:p>
      <w:pPr>
        <w:pStyle w:val="Normal"/>
        <w:rPr>
          <w:lang w:eastAsia="en-US"/>
        </w:rPr>
      </w:pPr>
      <w:r>
        <w:rPr>
          <w:lang w:eastAsia="en-US"/>
        </w:rPr>
        <w:t>Średnio zaawansowana umiejętność obsługi komputera, w szczególności znajomość pakietu biurowego (MS Office, LibreOffice / Open Office itp.) oraz umiejętność w miarę sprawnego pisania na klawiaturze.</w:t>
      </w:r>
    </w:p>
    <w:p>
      <w:pPr>
        <w:pStyle w:val="Normal"/>
        <w:rPr/>
      </w:pPr>
      <w:r>
        <w:rPr>
          <w:lang w:eastAsia="en-US"/>
        </w:rPr>
        <w:t xml:space="preserve">Student uczestniczący w zajęciach powinien też wcześniej zaliczyć następujące przedmioty: </w:t>
      </w:r>
    </w:p>
    <w:p>
      <w:pPr>
        <w:pStyle w:val="Normal"/>
        <w:rPr/>
      </w:pPr>
      <w:r>
        <w:rPr>
          <w:i/>
          <w:iCs/>
          <w:lang w:eastAsia="en-US"/>
        </w:rPr>
        <w:t>szkolenie biblioteczne</w:t>
      </w:r>
      <w:r>
        <w:rPr>
          <w:lang w:eastAsia="en-US"/>
        </w:rPr>
        <w:t xml:space="preserve"> oraz przedmioty modułu PNJA w 1 semestrze, w szczególności </w:t>
      </w:r>
      <w:r>
        <w:rPr>
          <w:i/>
          <w:iCs/>
          <w:lang w:eastAsia="en-US"/>
        </w:rPr>
        <w:t>Practical Grammar, Reading and Vocabulary, Writing</w:t>
      </w:r>
      <w:r>
        <w:rPr>
          <w:lang w:eastAsia="en-US"/>
        </w:rPr>
        <w:t xml:space="preserve">, oraz </w:t>
      </w:r>
      <w:r>
        <w:rPr>
          <w:i/>
          <w:iCs/>
          <w:lang w:eastAsia="en-US"/>
        </w:rPr>
        <w:t>gramatyka opisowa</w:t>
      </w:r>
      <w:r>
        <w:rPr>
          <w:lang w:eastAsia="en-US"/>
        </w:rPr>
        <w:t>.</w:t>
      </w:r>
    </w:p>
    <w:p>
      <w:pPr>
        <w:pStyle w:val="Normal"/>
        <w:widowControl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</w:r>
      <w:r>
        <w:br w:type="page"/>
      </w:r>
    </w:p>
    <w:p>
      <w:pPr>
        <w:pStyle w:val="Section"/>
        <w:shd w:val="clear" w:fill="FFFFFF"/>
        <w:bidi w:val="0"/>
        <w:spacing w:before="283" w:after="57"/>
        <w:jc w:val="left"/>
        <w:rPr/>
      </w:pPr>
      <w:r>
        <w:rPr>
          <w:rFonts w:cs="Calibri"/>
          <w:b/>
          <w:sz w:val="24"/>
          <w:szCs w:val="24"/>
        </w:rPr>
        <w:t>4. Efekty kształcenia przedmiotu</w:t>
      </w:r>
      <w:r>
        <w:rPr>
          <w:rFonts w:cs="Calibri"/>
          <w:i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 xml:space="preserve">wraz z odniesieniem do efektów kształcenia dla obszaru (obszarów) i kierunku </w:t>
      </w:r>
    </w:p>
    <w:tbl>
      <w:tblPr>
        <w:tblW w:w="9885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48"/>
        <w:gridCol w:w="6813"/>
        <w:gridCol w:w="2124"/>
      </w:tblGrid>
      <w:tr>
        <w:trPr/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Lp.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Opis efektów kształcenia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W_01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57"/>
              <w:rPr/>
            </w:pPr>
            <w:r>
              <w:rPr>
                <w:rFonts w:cs="UniversPro-Roman"/>
              </w:rPr>
              <w:t xml:space="preserve">Student zna terminologię i podstawowe pojęcia stosowane w opisie i analizie języka.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FA1P_W04</w:t>
            </w:r>
          </w:p>
        </w:tc>
      </w:tr>
      <w:tr>
        <w:trPr>
          <w:trHeight w:val="397" w:hRule="atLeast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W_02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ma podstawową wiedzę o zasadach tworzenia i zastosowaniu tłumaczeń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FA1P_W07</w:t>
            </w:r>
          </w:p>
        </w:tc>
      </w:tr>
      <w:tr>
        <w:trPr>
          <w:trHeight w:val="397" w:hRule="atLeast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U_01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potrafi sprawnie tłumaczyć teksty binesowe z i na język angielski z pomocą dostępnych technologii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FA1P_U02</w:t>
            </w:r>
          </w:p>
        </w:tc>
      </w:tr>
      <w:tr>
        <w:trPr>
          <w:trHeight w:val="397" w:hRule="atLeast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U_02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potrafi wyciągać wnioski z porównań próbek języków angielskiego i polskiego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FA1P_U05</w:t>
            </w:r>
          </w:p>
        </w:tc>
      </w:tr>
      <w:tr>
        <w:trPr>
          <w:trHeight w:val="397" w:hRule="atLeast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U_03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potrafi wyszukiwać, analizować, oceniać, selekcjonować i wykorzystywać informacje, wykorzystując źródła internetowe oraz narzędzia komputerowe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FA1P_U09</w:t>
            </w:r>
          </w:p>
        </w:tc>
      </w:tr>
      <w:tr>
        <w:trPr>
          <w:trHeight w:val="397" w:hRule="atLeast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U_04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Posiada umiejętność samodzielnego kształtowania i podnoszenia swoich umiejętności w zakresie języka angielskiego i tłumaczeń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FA1P_U10</w:t>
            </w:r>
          </w:p>
        </w:tc>
      </w:tr>
      <w:tr>
        <w:trPr>
          <w:trHeight w:val="397" w:hRule="atLeast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FFFFFF"/>
              <w:spacing w:before="57" w:after="0"/>
              <w:rPr/>
            </w:pPr>
            <w:r>
              <w:rPr/>
              <w:t>K_01</w:t>
            </w: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rozumie potrzebę rozwijania posiadanych przez siebie umiejętności i wiedzy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bidi w:val="0"/>
              <w:spacing w:before="57" w:after="0"/>
              <w:jc w:val="left"/>
              <w:rPr/>
            </w:pPr>
            <w:r>
              <w:rPr/>
              <w:t>FA1P_K01</w:t>
            </w:r>
          </w:p>
        </w:tc>
      </w:tr>
    </w:tbl>
    <w:p>
      <w:pPr>
        <w:pStyle w:val="Section"/>
        <w:shd w:val="clear" w:fill="FFFFFF"/>
        <w:bidi w:val="0"/>
        <w:spacing w:before="283" w:after="57"/>
        <w:jc w:val="left"/>
        <w:rPr/>
      </w:pPr>
      <w:r>
        <w:rPr>
          <w:rFonts w:cs="Calibri"/>
          <w:b/>
          <w:sz w:val="24"/>
          <w:szCs w:val="24"/>
        </w:rPr>
        <w:t>5.Treści kształcenia – oddzielnie dla każdej formy zajęć dydaktycznych</w:t>
      </w:r>
    </w:p>
    <w:p>
      <w:pPr>
        <w:pStyle w:val="Normal"/>
        <w:jc w:val="center"/>
        <w:rPr/>
      </w:pPr>
      <w:r>
        <w:rPr>
          <w:sz w:val="22"/>
          <w:szCs w:val="22"/>
        </w:rPr>
        <w:t>(W – wykład; K – konwersatorium; C – ćwiczenia, P – projekt, S- seminarium, PZ – praktyka)</w:t>
      </w:r>
    </w:p>
    <w:tbl>
      <w:tblPr>
        <w:tblW w:w="10046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795"/>
        <w:gridCol w:w="8383"/>
        <w:gridCol w:w="868"/>
      </w:tblGrid>
      <w:tr>
        <w:trPr/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57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8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before="57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i/>
                <w:iCs/>
              </w:rPr>
              <w:t>Tematyka zajęć – szczegółowy opis bloków tematycznych wg form dydaktycznych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i/>
                <w:iCs/>
              </w:rPr>
              <w:t>Liczba godzin</w:t>
            </w:r>
          </w:p>
        </w:tc>
      </w:tr>
      <w:tr>
        <w:trPr/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Coursecontents"/>
              <w:spacing w:before="57" w:after="0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translation tools for business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translating different types of business texts and correspondence with the help of available tools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14</w:t>
            </w:r>
          </w:p>
        </w:tc>
      </w:tr>
      <w:tr>
        <w:trPr/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0"/>
              <w:rPr>
                <w:lang w:val="en-GB" w:eastAsia="pl-PL" w:bidi="ar-SA"/>
              </w:rPr>
            </w:pPr>
            <w:r>
              <w:rPr>
                <w:lang w:val="en-GB" w:eastAsia="pl-PL" w:bidi="ar-SA"/>
              </w:rPr>
              <w:t>translating current business articles with the help of professional CAT software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12</w:t>
            </w:r>
          </w:p>
        </w:tc>
      </w:tr>
      <w:tr>
        <w:trPr>
          <w:trHeight w:val="408" w:hRule="atLeast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57" w:after="0"/>
              <w:ind w:lef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8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57" w:after="0"/>
              <w:ind w:lef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Suma: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/>
              <w:t>30</w:t>
            </w:r>
          </w:p>
        </w:tc>
      </w:tr>
    </w:tbl>
    <w:p>
      <w:pPr>
        <w:pStyle w:val="Section"/>
        <w:shd w:val="clear" w:fill="FFFFFF"/>
        <w:bidi w:val="0"/>
        <w:spacing w:before="283" w:after="57"/>
        <w:jc w:val="left"/>
        <w:rPr/>
      </w:pPr>
      <w:r>
        <w:rPr>
          <w:rFonts w:cs="Calibri"/>
          <w:b/>
          <w:sz w:val="24"/>
          <w:szCs w:val="24"/>
        </w:rPr>
        <w:t>6. Metody weryfikacji efektów kształcenia  /w odniesieniu do poszczególnych efektów/</w:t>
      </w:r>
    </w:p>
    <w:tbl>
      <w:tblPr>
        <w:tblW w:w="10031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13"/>
        <w:gridCol w:w="1044"/>
        <w:gridCol w:w="1044"/>
        <w:gridCol w:w="1292"/>
        <w:gridCol w:w="907"/>
        <w:gridCol w:w="1346"/>
        <w:gridCol w:w="1583"/>
        <w:gridCol w:w="1500"/>
      </w:tblGrid>
      <w:tr>
        <w:trPr>
          <w:trHeight w:val="397" w:hRule="atLeast"/>
        </w:trPr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Efekt kształcenia</w:t>
            </w:r>
          </w:p>
        </w:tc>
        <w:tc>
          <w:tcPr>
            <w:tcW w:w="8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Egzamin ustny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Egzamin pisemny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Kolokwium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Projekt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Sprawdzian wejściowy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Sprawozdanie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2"/>
                <w:szCs w:val="22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W_01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W_02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bookmarkStart w:id="0" w:name="__DdeLink__7979_68811155"/>
            <w:bookmarkEnd w:id="0"/>
            <w:r>
              <w:rPr>
                <w:rFonts w:cs="Calibri"/>
                <w:sz w:val="24"/>
                <w:szCs w:val="24"/>
              </w:rPr>
              <w:t>U_01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U_02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U_03</w:t>
            </w:r>
          </w:p>
          <w:p>
            <w:pPr>
              <w:pStyle w:val="Normal"/>
              <w:shd w:val="clear" w:color="auto" w:fill="FFFFFF"/>
              <w:spacing w:before="57" w:after="57"/>
              <w:jc w:val="both"/>
              <w:rPr/>
            </w:pPr>
            <w:r>
              <w:rPr>
                <w:rFonts w:cs="Calibri"/>
                <w:sz w:val="24"/>
                <w:szCs w:val="24"/>
              </w:rPr>
              <w:t>U_04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</w:tbl>
    <w:p>
      <w:pPr>
        <w:pStyle w:val="Section"/>
        <w:shd w:val="clear" w:fill="FFFFFF"/>
        <w:bidi w:val="0"/>
        <w:spacing w:before="283" w:after="57"/>
        <w:jc w:val="left"/>
        <w:rPr/>
      </w:pPr>
      <w:r>
        <w:rPr>
          <w:rFonts w:cs="Calibri"/>
          <w:b/>
          <w:sz w:val="24"/>
          <w:szCs w:val="24"/>
        </w:rPr>
        <w:t xml:space="preserve">7. Ocena </w:t>
      </w:r>
      <w:r>
        <w:rPr>
          <w:rFonts w:cs="Calibri"/>
          <w:b/>
          <w:bCs/>
          <w:sz w:val="24"/>
          <w:szCs w:val="24"/>
        </w:rPr>
        <w:t>osiągniętych efektów kształcenia</w:t>
      </w:r>
    </w:p>
    <w:p>
      <w:pPr>
        <w:pStyle w:val="Section"/>
        <w:rPr/>
      </w:pPr>
      <w:r>
        <w:rPr>
          <w:rFonts w:cs="Calibri"/>
          <w:b/>
          <w:sz w:val="24"/>
          <w:szCs w:val="24"/>
        </w:rPr>
        <w:tab/>
        <w:t>7.1. Sposoby oceny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  <w:t>Ocena formująca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tbl>
      <w:tblPr>
        <w:tblW w:w="63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5413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Projekt 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Projekt 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/>
              <w:t>F3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Projekt 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57" w:after="0"/>
              <w:jc w:val="center"/>
              <w:rPr/>
            </w:pPr>
            <w:r>
              <w:rPr/>
              <w:t>F4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Projekt 4</w:t>
            </w:r>
          </w:p>
        </w:tc>
      </w:tr>
    </w:tbl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440" w:firstLine="720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  <w:t>Ocena podsumowująca</w:t>
      </w:r>
    </w:p>
    <w:p>
      <w:pPr>
        <w:pStyle w:val="Normal"/>
        <w:ind w:left="1440" w:firstLine="72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tbl>
      <w:tblPr>
        <w:tblW w:w="5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59"/>
        <w:gridCol w:w="4986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 w:before="57" w:after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0"/>
              <w:jc w:val="left"/>
              <w:rPr/>
            </w:pPr>
            <w:r>
              <w:rPr>
                <w:lang w:eastAsia="en-US"/>
              </w:rPr>
              <w:t>Zaliczenie tematyki ćwiczeń na podstawie projektów F1-F4</w:t>
            </w:r>
          </w:p>
        </w:tc>
      </w:tr>
    </w:tbl>
    <w:p>
      <w:pPr>
        <w:pStyle w:val="Section"/>
        <w:shd w:val="clear" w:fill="FFFFFF"/>
        <w:bidi w:val="0"/>
        <w:spacing w:before="283" w:after="57"/>
        <w:jc w:val="left"/>
        <w:rPr/>
      </w:pPr>
      <w:r>
        <w:rPr>
          <w:rFonts w:cs="Calibri"/>
          <w:b/>
          <w:sz w:val="24"/>
          <w:szCs w:val="24"/>
        </w:rPr>
        <w:tab/>
        <w:t xml:space="preserve">7.2. Kryteria oceny (opisowo; możliwe inne formy ustalone dla Instytutu)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tbl>
      <w:tblPr>
        <w:tblW w:w="9608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384"/>
        <w:gridCol w:w="2741"/>
        <w:gridCol w:w="2741"/>
        <w:gridCol w:w="2741"/>
      </w:tblGrid>
      <w:tr>
        <w:trPr>
          <w:trHeight w:val="397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cstheme="minorHAnsi"/>
                <w:sz w:val="18"/>
                <w:szCs w:val="24"/>
              </w:rPr>
              <w:t>Efekt kształcenia (przedmiotu)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cstheme="minorHAnsi"/>
                <w:b/>
                <w:bCs/>
                <w:sz w:val="18"/>
                <w:szCs w:val="24"/>
              </w:rPr>
              <w:t>Na ocenę 3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cstheme="minorHAnsi"/>
                <w:b/>
                <w:bCs/>
                <w:sz w:val="18"/>
                <w:szCs w:val="24"/>
              </w:rPr>
              <w:t>Na ocenę 4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24"/>
              </w:rPr>
            </w:pPr>
            <w:r>
              <w:rPr>
                <w:rFonts w:cs="Calibri" w:cstheme="minorHAnsi"/>
                <w:b/>
                <w:bCs/>
                <w:sz w:val="18"/>
                <w:szCs w:val="24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W_01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W_02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U_01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U_02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U_03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U_04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/>
            </w:pPr>
            <w:r>
              <w:rPr>
                <w:rFonts w:cs="Calibri" w:cstheme="minorHAnsi"/>
                <w:sz w:val="24"/>
                <w:szCs w:val="24"/>
              </w:rPr>
              <w:t>K_01</w:t>
            </w:r>
          </w:p>
          <w:p>
            <w:pPr>
              <w:pStyle w:val="Normal"/>
              <w:shd w:val="clear" w:color="auto" w:fill="FFFFFF"/>
              <w:spacing w:before="57" w:after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 xml:space="preserve">Student potrafi w podstawowym zakresie korzystać z powszechnie dostępnych narzędzi ułatwiających tłumaczenie, w miarę skutecznie i nienagannie tłumaczyć podstawowe typy tekstu biznesowego, oraz </w:t>
            </w:r>
            <w:r>
              <w:rPr/>
              <w:t xml:space="preserve">satysfakcjonująco </w:t>
            </w:r>
            <w:r>
              <w:rPr/>
              <w:t>tłumaczyć dowolne teksty z dziedziny biznesu, finansów, zarządzania itp. wykorzystując dostępne narzędzia.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>Student potrafi swobodnie korzystać z powszechnie dostępnych narzędzi ułatwiających tłumaczenie,  poprawnie tłumaczyć większość typów tekstu biznesowego, oraz dobrze tłumaczyć dowolne teksty z dziedziny biznesu, finansów, zarządzania itp. z wykorzystaniem dostępnych narzędzi.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57" w:after="57"/>
              <w:rPr/>
            </w:pPr>
            <w:r>
              <w:rPr/>
              <w:t xml:space="preserve">Student potrafi swobodnie korzystać z powszechnie z dużej ilości narzędzi ułatwiających tłumaczenie,  </w:t>
            </w:r>
            <w:r>
              <w:rPr/>
              <w:t>swobodnie</w:t>
            </w:r>
            <w:r>
              <w:rPr/>
              <w:t xml:space="preserve"> tłumaczyć większość typów tekstu biznesowego, oraz </w:t>
            </w:r>
            <w:r>
              <w:rPr/>
              <w:t>wzorowo</w:t>
            </w:r>
            <w:r>
              <w:rPr/>
              <w:t xml:space="preserve"> tłumaczyć dowolne teksty z dziedziny biznesu, finansów, zarządzania itp. z wykorzystaniem dostępnych narzędzi.</w:t>
            </w:r>
          </w:p>
        </w:tc>
      </w:tr>
    </w:tbl>
    <w:p>
      <w:pPr>
        <w:pStyle w:val="Section"/>
        <w:shd w:val="clear" w:fill="FFFFFF"/>
        <w:bidi w:val="0"/>
        <w:spacing w:before="283" w:after="57"/>
        <w:jc w:val="left"/>
        <w:rPr/>
      </w:pPr>
      <w:r>
        <w:rPr>
          <w:rFonts w:cs="Calibri"/>
          <w:b/>
          <w:sz w:val="24"/>
          <w:szCs w:val="24"/>
        </w:rPr>
        <w:t>8. Literatura podstawowa i uzupełniająca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b w:val="false"/>
          <w:bCs w:val="false"/>
          <w:sz w:val="24"/>
          <w:szCs w:val="24"/>
        </w:rPr>
        <w:t xml:space="preserve">Podręczniki </w:t>
      </w:r>
      <w:r>
        <w:rPr>
          <w:rFonts w:cs="Calibri"/>
          <w:b w:val="false"/>
          <w:bCs w:val="false"/>
          <w:sz w:val="24"/>
          <w:szCs w:val="24"/>
        </w:rPr>
        <w:t>poszczególnych</w:t>
      </w:r>
      <w:r>
        <w:rPr>
          <w:rFonts w:cs="Calibri"/>
          <w:b w:val="false"/>
          <w:bCs w:val="false"/>
          <w:sz w:val="24"/>
          <w:szCs w:val="24"/>
        </w:rPr>
        <w:t xml:space="preserve"> aplikacji CAT</w:t>
      </w:r>
    </w:p>
    <w:p>
      <w:pPr>
        <w:pStyle w:val="Normal"/>
        <w:shd w:val="clear" w:fill="FFFFFF"/>
        <w:rPr>
          <w:u w:val="single"/>
        </w:rPr>
      </w:pPr>
      <w:r>
        <w:rPr/>
        <w:t>rozmaite źródła internetowe</w:t>
      </w:r>
    </w:p>
    <w:p>
      <w:pPr>
        <w:pStyle w:val="Section"/>
        <w:shd w:val="clear" w:fill="FFFFFF"/>
        <w:bidi w:val="0"/>
        <w:spacing w:before="283" w:after="57"/>
        <w:jc w:val="left"/>
        <w:rPr/>
      </w:pPr>
      <w:r>
        <w:rPr>
          <w:rFonts w:cs="Calibri"/>
          <w:b/>
          <w:sz w:val="24"/>
          <w:szCs w:val="24"/>
        </w:rPr>
        <w:t>9. Nakład pracy studenta - bilans punktów ECTS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b/>
          <w:iCs/>
          <w:sz w:val="24"/>
          <w:szCs w:val="24"/>
        </w:rPr>
        <w:t xml:space="preserve">Zajęcia z bezpośrednim udziałem prowadzącego (tzw. kontaktowe): 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iCs/>
          <w:sz w:val="24"/>
          <w:szCs w:val="24"/>
        </w:rPr>
        <w:t xml:space="preserve">- wykład prowadzony w wymiarze </w:t>
      </w:r>
      <w:r>
        <w:rPr>
          <w:rFonts w:cs="Calibri"/>
          <w:b/>
          <w:bCs/>
          <w:iCs/>
          <w:sz w:val="24"/>
          <w:szCs w:val="24"/>
        </w:rPr>
        <w:t xml:space="preserve">30 </w:t>
      </w:r>
      <w:r>
        <w:rPr>
          <w:rFonts w:cs="Calibri"/>
          <w:iCs/>
          <w:sz w:val="24"/>
          <w:szCs w:val="24"/>
        </w:rPr>
        <w:t xml:space="preserve">godz. semestralnie, 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sz w:val="24"/>
          <w:szCs w:val="24"/>
        </w:rPr>
        <w:t xml:space="preserve">Razem zajęcia kontaktowe: </w:t>
      </w:r>
      <w:r>
        <w:rPr>
          <w:rFonts w:cs="Calibri"/>
          <w:b/>
          <w:sz w:val="24"/>
          <w:szCs w:val="24"/>
        </w:rPr>
        <w:t xml:space="preserve"> godz. 30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b/>
          <w:sz w:val="24"/>
          <w:szCs w:val="24"/>
        </w:rPr>
        <w:t>Praca samodzielna studenta</w:t>
      </w:r>
      <w:r>
        <w:rPr>
          <w:rFonts w:cs="Calibri"/>
          <w:sz w:val="24"/>
          <w:szCs w:val="24"/>
        </w:rPr>
        <w:t xml:space="preserve">:  </w:t>
      </w:r>
      <w:r>
        <w:rPr>
          <w:b/>
          <w:bCs/>
        </w:rPr>
        <w:t>30 godz.</w:t>
      </w:r>
      <w:r>
        <w:rPr/>
        <w:t xml:space="preserve"> semestralnie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sz w:val="24"/>
          <w:szCs w:val="24"/>
        </w:rPr>
        <w:t xml:space="preserve">Suma godzin (kontaktowych i samodzielnych) – </w:t>
      </w:r>
      <w:r>
        <w:rPr>
          <w:rFonts w:cs="Calibri"/>
          <w:b/>
          <w:bCs/>
          <w:sz w:val="24"/>
          <w:szCs w:val="24"/>
        </w:rPr>
        <w:t>godz. 60</w:t>
      </w:r>
    </w:p>
    <w:p>
      <w:pPr>
        <w:pStyle w:val="Normal"/>
        <w:shd w:val="clear" w:color="auto" w:fill="FFFFFF"/>
        <w:jc w:val="both"/>
        <w:rPr/>
      </w:pPr>
      <w:r>
        <w:rPr>
          <w:rFonts w:cs="Calibri"/>
          <w:sz w:val="24"/>
          <w:szCs w:val="24"/>
        </w:rPr>
        <w:t xml:space="preserve">Liczba punktów ECTS – </w:t>
      </w:r>
      <w:r>
        <w:rPr>
          <w:b/>
          <w:bCs/>
        </w:rPr>
        <w:t>2</w:t>
      </w:r>
      <w:r>
        <w:rPr>
          <w:rFonts w:cs="Calibri"/>
          <w:sz w:val="24"/>
          <w:szCs w:val="24"/>
        </w:rPr>
        <w:t xml:space="preserve">, w tym kontaktowe </w:t>
      </w:r>
      <w:r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 a praca własna </w:t>
      </w:r>
      <w:r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</w:p>
    <w:p>
      <w:pPr>
        <w:pStyle w:val="Section"/>
        <w:shd w:val="clear" w:fill="FFFFFF"/>
        <w:bidi w:val="0"/>
        <w:spacing w:before="283" w:after="57"/>
        <w:jc w:val="left"/>
        <w:rPr/>
      </w:pPr>
      <w:r>
        <w:rPr>
          <w:b/>
          <w:sz w:val="24"/>
          <w:szCs w:val="24"/>
        </w:rPr>
        <w:t>10. Zatwierdzenie karty przedmiotu do realizacji</w:t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/>
          <w:sz w:val="24"/>
          <w:szCs w:val="24"/>
        </w:rPr>
        <w:t xml:space="preserve">1. </w:t>
      </w:r>
      <w:r>
        <w:rPr/>
        <w:t>Odpowiedzialny za przedmiot: mgr Paweł Cisło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Calibri"/>
          <w:sz w:val="24"/>
          <w:szCs w:val="24"/>
        </w:rPr>
        <w:t xml:space="preserve">2. </w:t>
      </w:r>
      <w:r>
        <w:rPr/>
        <w:t>Dyrektor Instytutu: dr Jan Zięba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spacing w:before="57" w:after="57"/>
        <w:ind w:firstLine="360"/>
        <w:rPr/>
      </w:pPr>
      <w:r>
        <w:rPr/>
        <w:t>Przemyśl, data 30.09.2017</w:t>
      </w:r>
    </w:p>
    <w:p>
      <w:pPr>
        <w:pStyle w:val="Normal"/>
        <w:spacing w:before="57" w:after="57"/>
        <w:ind w:firstLine="360"/>
        <w:rPr/>
      </w:pPr>
      <w:r>
        <w:rPr/>
      </w:r>
    </w:p>
    <w:sectPr>
      <w:footerReference w:type="default" r:id="rId2"/>
      <w:type w:val="nextPage"/>
      <w:pgSz w:w="11906" w:h="16838"/>
      <w:pgMar w:left="1421" w:right="1136" w:header="0" w:top="951" w:footer="707" w:bottom="764" w:gutter="0"/>
      <w:pgNumType w:fmt="decimal"/>
      <w:formProt w:val="false"/>
      <w:textDirection w:val="lrTb"/>
      <w:docGrid w:type="default" w:linePitch="24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roid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4455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0.8pt;margin-top:0.05pt;width:6.5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C%1"/>
      <w:lvlJc w:val="left"/>
      <w:pPr>
        <w:ind w:left="0" w:hanging="0"/>
      </w:pPr>
    </w:lvl>
    <w:lvl w:ilvl="1">
      <w:start w:val="1"/>
      <w:numFmt w:val="decimal"/>
      <w:lvlText w:val="C%2"/>
      <w:lvlJc w:val="left"/>
      <w:pPr>
        <w:ind w:left="0" w:hanging="0"/>
      </w:pPr>
    </w:lvl>
    <w:lvl w:ilvl="2">
      <w:start w:val="1"/>
      <w:numFmt w:val="decimal"/>
      <w:lvlText w:val="C%3"/>
      <w:lvlJc w:val="left"/>
      <w:pPr>
        <w:ind w:left="0" w:hanging="0"/>
      </w:pPr>
    </w:lvl>
    <w:lvl w:ilvl="3">
      <w:start w:val="1"/>
      <w:numFmt w:val="decimal"/>
      <w:lvlText w:val="C%4"/>
      <w:lvlJc w:val="left"/>
      <w:pPr>
        <w:ind w:left="0" w:hanging="0"/>
      </w:pPr>
    </w:lvl>
    <w:lvl w:ilvl="4">
      <w:start w:val="1"/>
      <w:numFmt w:val="decimal"/>
      <w:lvlText w:val="C%5"/>
      <w:lvlJc w:val="left"/>
      <w:pPr>
        <w:ind w:left="0" w:hanging="0"/>
      </w:pPr>
    </w:lvl>
    <w:lvl w:ilvl="5">
      <w:start w:val="1"/>
      <w:numFmt w:val="decimal"/>
      <w:lvlText w:val="C%6"/>
      <w:lvlJc w:val="left"/>
      <w:pPr>
        <w:ind w:left="0" w:hanging="0"/>
      </w:pPr>
    </w:lvl>
    <w:lvl w:ilvl="6">
      <w:start w:val="1"/>
      <w:numFmt w:val="decimal"/>
      <w:lvlText w:val="C%7"/>
      <w:lvlJc w:val="left"/>
      <w:pPr>
        <w:ind w:left="0" w:hanging="0"/>
      </w:pPr>
    </w:lvl>
    <w:lvl w:ilvl="7">
      <w:start w:val="1"/>
      <w:numFmt w:val="decimal"/>
      <w:lvlText w:val="C%8"/>
      <w:lvlJc w:val="left"/>
      <w:pPr>
        <w:ind w:left="0" w:hanging="0"/>
      </w:pPr>
    </w:lvl>
    <w:lvl w:ilvl="8">
      <w:start w:val="1"/>
      <w:numFmt w:val="decimal"/>
      <w:lvlText w:val="C%9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adf"/>
    <w:pPr>
      <w:widowControl w:val="false"/>
      <w:suppressAutoHyphens w:val="true"/>
      <w:bidi w:val="0"/>
      <w:spacing w:lineRule="auto" w:line="240" w:before="57" w:after="57"/>
      <w:jc w:val="left"/>
    </w:pPr>
    <w:rPr>
      <w:rFonts w:ascii="Calibri" w:hAnsi="Calibri" w:eastAsia="Times New Roman" w:cs="Arial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bc7adf"/>
    <w:rPr>
      <w:rFonts w:ascii="Times New Roman" w:hAnsi="Times New Roman" w:eastAsia="Calibri" w:cs="Times New Roman"/>
      <w:sz w:val="24"/>
    </w:rPr>
  </w:style>
  <w:style w:type="character" w:styleId="Pagenumber">
    <w:name w:val="page number"/>
    <w:qFormat/>
    <w:rsid w:val="00bc7adf"/>
    <w:rPr/>
  </w:style>
  <w:style w:type="character" w:styleId="Test">
    <w:name w:val="test"/>
    <w:qFormat/>
    <w:rPr>
      <w:rFonts w:ascii="Droid Sans" w:hAnsi="Droid Sans"/>
      <w:b/>
      <w:color w:val="5050FF"/>
      <w:sz w:val="21"/>
    </w:rPr>
  </w:style>
  <w:style w:type="character" w:styleId="Znakinumeracji">
    <w:name w:val="Znaki numeracji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 w:customStyle="1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l-PL" w:eastAsia="en-US" w:bidi="ar-SA"/>
    </w:rPr>
  </w:style>
  <w:style w:type="paragraph" w:styleId="Nagwek2">
    <w:name w:val="Nagłówek 2"/>
    <w:qFormat/>
    <w:pPr>
      <w:widowControl w:val="false"/>
      <w:bidi w:val="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l-PL" w:eastAsia="en-US" w:bidi="ar-SA"/>
    </w:rPr>
  </w:style>
  <w:style w:type="paragraph" w:styleId="Nagwek3">
    <w:name w:val="Nagłówek 3"/>
    <w:qFormat/>
    <w:pPr>
      <w:widowControl w:val="false"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l-PL" w:eastAsia="en-US" w:bidi="ar-SA"/>
    </w:rPr>
  </w:style>
  <w:style w:type="paragraph" w:styleId="Nagwek" w:customStyle="1">
    <w:name w:val="Nagłówek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Tretekstu"/>
    <w:qFormat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Calibri" w:cs="FreeSans" w:asciiTheme="minorHAnsi" w:eastAsiaTheme="minorHAnsi" w:hAnsiTheme="minorHAnsi"/>
      <w:color w:val="00000A"/>
      <w:sz w:val="20"/>
      <w:szCs w:val="22"/>
      <w:lang w:val="pl-PL" w:eastAsia="en-US" w:bidi="ar-SA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Stopka"/>
    <w:basedOn w:val="Normal"/>
    <w:link w:val="StopkaZnak"/>
    <w:qFormat/>
    <w:rsid w:val="00bc7adf"/>
    <w:pPr>
      <w:widowControl/>
      <w:tabs>
        <w:tab w:val="center" w:pos="4536" w:leader="none"/>
        <w:tab w:val="right" w:pos="9072" w:leader="none"/>
      </w:tabs>
      <w:spacing w:lineRule="auto" w:line="276" w:before="0" w:after="200"/>
    </w:pPr>
    <w:rPr>
      <w:rFonts w:ascii="Times New Roman" w:hAnsi="Times New Roman" w:eastAsia="Calibri" w:cs="Times New Roman"/>
      <w:sz w:val="24"/>
      <w:szCs w:val="22"/>
      <w:lang w:eastAsia="en-US"/>
    </w:rPr>
  </w:style>
  <w:style w:type="paragraph" w:styleId="Tekst1010ba" w:customStyle="1">
    <w:name w:val="!tekst10/10ba"/>
    <w:basedOn w:val="Normal"/>
    <w:qFormat/>
    <w:rsid w:val="0029275b"/>
    <w:pPr>
      <w:widowControl/>
      <w:jc w:val="both"/>
    </w:pPr>
    <w:rPr>
      <w:rFonts w:ascii="Times New Roman" w:hAnsi="Times New Roman" w:cs="Times New Roman"/>
    </w:rPr>
  </w:style>
  <w:style w:type="paragraph" w:styleId="FrameContents" w:customStyle="1">
    <w:name w:val="Frame Contents"/>
    <w:basedOn w:val="Normal"/>
    <w:qFormat/>
    <w:pPr/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Nagwek"/>
    <w:qFormat/>
    <w:pPr/>
    <w:rPr/>
  </w:style>
  <w:style w:type="paragraph" w:styleId="Podtytu">
    <w:name w:val="Podtytuł"/>
    <w:basedOn w:val="Nagwek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TableTopics">
    <w:name w:val="Table Topics"/>
    <w:basedOn w:val="Zawartotabeli"/>
    <w:qFormat/>
    <w:pPr>
      <w:spacing w:before="57" w:after="57"/>
    </w:pPr>
    <w:rPr>
      <w:b/>
      <w:sz w:val="20"/>
    </w:rPr>
  </w:style>
  <w:style w:type="paragraph" w:styleId="Section">
    <w:name w:val="section"/>
    <w:basedOn w:val="Normal"/>
    <w:qFormat/>
    <w:pPr>
      <w:shd w:val="clear" w:color="auto" w:fill="FFFFFF"/>
      <w:spacing w:before="454" w:after="57"/>
      <w:jc w:val="both"/>
    </w:pPr>
    <w:rPr/>
  </w:style>
  <w:style w:type="paragraph" w:styleId="Coursecontents">
    <w:name w:val="course contents"/>
    <w:basedOn w:val="Normal"/>
    <w:qFormat/>
    <w:pPr/>
    <w:rPr>
      <w:lang w:val="en-GB"/>
    </w:rPr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cja1">
    <w:name w:val="Numeracja 1"/>
    <w:qFormat/>
  </w:style>
  <w:style w:type="numbering" w:styleId="Lista1">
    <w:name w:val="Lista 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LibreOffice/5.4.5.1$Linux_X86_64 LibreOffice_project/40m0$Build-1</Application>
  <Pages>4</Pages>
  <Words>654</Words>
  <Characters>4345</Characters>
  <CharactersWithSpaces>4858</CharactersWithSpaces>
  <Paragraphs>153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2015-11-30T13:41:00Z</dcterms:created>
  <dc:creator>And</dc:creator>
  <dc:description/>
  <dc:language>pl-PL</dc:language>
  <cp:lastModifiedBy/>
  <dcterms:modified xsi:type="dcterms:W3CDTF">2018-02-18T18:49:38Z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