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KARTA ZAJĘĆ (SYLABUS)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Zajęcia i ich usytuowanie w harmonogramie realizacji programu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3971"/>
        <w:gridCol w:w="5697"/>
        <w:tblGridChange w:id="0">
          <w:tblGrid>
            <w:gridCol w:w="3971"/>
            <w:gridCol w:w="569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Instytut Humanistyczny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polska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 prowadzenia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stacjonarne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Profil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praktyczny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Poziom kształcenia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studia I stopnia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Teksty kultury XX i XXI wieku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Kod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IHM-KESW-2017-08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Poziom/kategoria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specjalizacyjne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Status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Obowiązkowy/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fakultatywny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Usytuowanie zajęć w harmonogramie realizacji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 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polski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Liczba punktów 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(semestr V - 2, semestr VI - 2)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Koordynator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Odpowiedzialny za realizację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Zięba,  e-mail: janzieba1@gmail.com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Formy zajęć dydaktycznych i ich wymiar w harmonogramie realizacji programu studiów</w:t>
      </w:r>
    </w:p>
    <w:tbl>
      <w:tblPr>
        <w:tblStyle w:val="Table2"/>
        <w:tblW w:w="9666.298959673502" w:type="dxa"/>
        <w:jc w:val="left"/>
        <w:tblInd w:w="108.0" w:type="dxa"/>
        <w:tblLayout w:type="fixed"/>
        <w:tblLook w:val="0000"/>
      </w:tblPr>
      <w:tblGrid>
        <w:gridCol w:w="1069"/>
        <w:gridCol w:w="1284.9134420668177"/>
        <w:gridCol w:w="1931.3855176066852"/>
        <w:gridCol w:w="1552"/>
        <w:gridCol w:w="964"/>
        <w:gridCol w:w="1714"/>
        <w:gridCol w:w="1151"/>
        <w:tblGridChange w:id="0">
          <w:tblGrid>
            <w:gridCol w:w="1069"/>
            <w:gridCol w:w="1284.9134420668177"/>
            <w:gridCol w:w="1931.3855176066852"/>
            <w:gridCol w:w="1552"/>
            <w:gridCol w:w="964"/>
            <w:gridCol w:w="1714"/>
            <w:gridCol w:w="11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Wykład 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Konwersatorium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Laboratorium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Praktyka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Cele zajęć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 1 − student nabywa podstawową wiedzę na temat wybranych tekstów kultury krajów Europy środkowo-wschodniej;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 2 − student potrafi opisać najważniejsze zjawiska kultury krajów Europy środkowo-wschodniej oraz zinterpretować wybrane dzieła;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 3 − student zdobywa umiejętności formułowania i analizowania problemów badawczych z zakresu kultury krajów Europy środkowo-wschodniej, a także potrafi zaprezentować wyniki swoich badań w formie pisemnej.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Wymagania wstępne w zakresie wiedzy, umiejętności i innych kompetencji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line="240" w:lineRule="auto"/>
        <w:ind w:right="-84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Efekty uczenia się dla zajęć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wraz z odniesieniem do kierunkowych efektów uczenia się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7.0" w:type="dxa"/>
        <w:jc w:val="left"/>
        <w:tblInd w:w="-155.0" w:type="dxa"/>
        <w:tblLayout w:type="fixed"/>
        <w:tblLook w:val="0000"/>
      </w:tblPr>
      <w:tblGrid>
        <w:gridCol w:w="1143"/>
        <w:gridCol w:w="6476"/>
        <w:gridCol w:w="2298"/>
        <w:tblGridChange w:id="0">
          <w:tblGrid>
            <w:gridCol w:w="1143"/>
            <w:gridCol w:w="6476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Opis efektów uczenia się dla zajęć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Odniesienie do kierunkowych efektów uczenia się - identyfikator kierunkowych efektów uczenia się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 uporządkowaną wiedzę na temat głównych zjawisk w kulturze Europy środkowo-wschodniej.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 podstawową wiedzę o powiązaniach nauki o literaturze,  z innymi dziedzinami humanistyki (historia, historia sztuki, wiedza o kulturze, filozofia)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i rozumie podstawowe metody analizy i interpretacji najważniejszych tekstów kultury Europy środkowo-wschodniej w oparciu o różnorodne metody badawcze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wyszukiwać, analizować, oceniać, selekcjonować i użytkować informacje z zakresu kultury Europy środkowo wschodniej.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FPl1P_U01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 świadomość odpowiedzialności za zachowanie dziedzictwa kulturowego Europy środkowo-wschodniej i kultury polskiej jako jego części.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FPl1P_K01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Treści kształcenia – oddzielnie dla każdej formy zajęć dydaktycznych 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(W- wykład, C- ćwiczenia, K- konwersatorium, L- laboratorium, P- projekt, PZ- praktyka zawodowa)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8363"/>
        <w:gridCol w:w="865"/>
        <w:tblGridChange w:id="0">
          <w:tblGrid>
            <w:gridCol w:w="817"/>
            <w:gridCol w:w="8363"/>
            <w:gridCol w:w="8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Tematyka zajęć – szczegółowy opis bloków tematycznych wg form dydaktycznych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 godzin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Kultura Europy środkowo-wschodniej.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Wprowadzenie historyczno-geograficzne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W2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Rodzaje tekstów kultury. Metody interpretacji związki intertekstualne.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W3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Specyfika środkowoeuropejskiego doświadczenia historycznego i jego przejawy w twórczości kulturalnej. J. Andruchowycz, A. Stasiuk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Dwa eseje o Europie zwanej środkową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; Cz. Miłosz,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Szukanie ojczyzny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Powrót do korzeni cywilizacji i odkrywanie "słowiańskiej Atlantydy" w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Na wysokiej połoninie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S. Vincenza.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W5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Hasek, Przygody dobrego wojaka Szwejka. Europa środkowo-wschodnia okresu I wojny światowej w literackiej interpretacji J. Haska.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W6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Główne zjawiska literatury środkowo i wschodnioeuropejskiej - wprowadzenie.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W7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 środkowo i wschodnioeuropejska - prezentacje studentów.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W8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Wybrane zjawiska muzyki i malarstwa środkowoeuropejskiego XX i XXI w.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W9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Muzyka Europy środkowo-wschodniej XX i XXI w. Prezentacje studentów.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W10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Malarstwo Europy środkowo wschodni XX i XXI w. Prezentacje studentów.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W11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Diagnozy, stereotypy, nieporozumienia w relacjach polsko-ukraińskich. Ziemowit Szczerek, Tatuaż z Tryzubem.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W12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Kinematografia Europy środkowo-wschodniej - wprowadzenie. Charakterystyka wybranych dzieł. 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W13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Filmowe spojrzenia na polsko-ukraińską historię.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Ogniem i mieczem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J. Hofmanna i Wołyń W. Smarzowskiego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W14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Film środkowo i wschodnioeuropejski. Prezentacje Studentów.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W15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Literatura, muzyka, malarstwo środkowo i wschodnioeuropejskie. Prezentacje, interpretacje, dyskusje.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W16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Druga wojna światowa w literaturze, filmie i sztukach plastycznych Europy środkowo-wschodniej.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W17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Podsumowanie zajęć. Ocena pracy studentów i zaliczenie przedmiotu.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shd w:fill="ffffff" w:val="clear"/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Metody weryfikacji efektów uczenia się  /w odniesieniu do poszczególnych efektów/</w:t>
      </w:r>
    </w:p>
    <w:p w:rsidR="00000000" w:rsidDel="00000000" w:rsidP="00000000" w:rsidRDefault="00000000" w:rsidRPr="00000000" w14:paraId="0000009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9.0" w:type="dxa"/>
        <w:jc w:val="left"/>
        <w:tblInd w:w="-155.0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  <w:tblGridChange w:id="0">
          <w:tblGrid>
            <w:gridCol w:w="1315"/>
            <w:gridCol w:w="1060"/>
            <w:gridCol w:w="1134"/>
            <w:gridCol w:w="1417"/>
            <w:gridCol w:w="992"/>
            <w:gridCol w:w="1418"/>
            <w:gridCol w:w="1701"/>
            <w:gridCol w:w="1022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Symbol efektu uczenia się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 weryfikacji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Egzamin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Sprawdzian wejściowy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Sprawozdanie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hd w:fill="ffffff" w:val="clear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Prezentacja multimedialna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C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8. Narzędzia dydaktyczne</w:t>
      </w:r>
    </w:p>
    <w:tbl>
      <w:tblPr>
        <w:tblStyle w:val="Table6"/>
        <w:tblW w:w="6360.0" w:type="dxa"/>
        <w:jc w:val="left"/>
        <w:tblInd w:w="-15.0" w:type="dxa"/>
        <w:tblLayout w:type="fixed"/>
        <w:tblLook w:val="0000"/>
      </w:tblPr>
      <w:tblGrid>
        <w:gridCol w:w="2372"/>
        <w:gridCol w:w="3988"/>
        <w:tblGridChange w:id="0">
          <w:tblGrid>
            <w:gridCol w:w="2372"/>
            <w:gridCol w:w="39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zajęć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Heureza, dyskusja, prezentacja multimedialna.</w:t>
            </w:r>
          </w:p>
        </w:tc>
      </w:tr>
    </w:tbl>
    <w:p w:rsidR="00000000" w:rsidDel="00000000" w:rsidP="00000000" w:rsidRDefault="00000000" w:rsidRPr="00000000" w14:paraId="000000D3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Ocena osiągniętych efektów uczenia się</w:t>
      </w:r>
    </w:p>
    <w:p w:rsidR="00000000" w:rsidDel="00000000" w:rsidP="00000000" w:rsidRDefault="00000000" w:rsidRPr="00000000" w14:paraId="000000D5">
      <w:pPr>
        <w:widowControl w:val="0"/>
        <w:shd w:fill="ffffff" w:val="clear"/>
        <w:spacing w:after="0" w:line="240" w:lineRule="auto"/>
        <w:ind w:left="66" w:firstLine="6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9.1. Sposoby oceny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formująca</w:t>
      </w:r>
    </w:p>
    <w:tbl>
      <w:tblPr>
        <w:tblStyle w:val="Table7"/>
        <w:tblW w:w="6236.999999999999" w:type="dxa"/>
        <w:jc w:val="left"/>
        <w:tblInd w:w="108.0" w:type="dxa"/>
        <w:tblLayout w:type="fixed"/>
        <w:tblLook w:val="0000"/>
      </w:tblPr>
      <w:tblGrid>
        <w:gridCol w:w="959"/>
        <w:gridCol w:w="5278"/>
        <w:tblGridChange w:id="0">
          <w:tblGrid>
            <w:gridCol w:w="959"/>
            <w:gridCol w:w="52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stopnia komunikowania się na linii student – prowadzący, aktywności, zrozumienia omawianej tematyki przedmiotu (każdorazowo podczas trwania zajęć).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przygotowanej przez studenta prezentacji multimedialnej poświęconej wybranemu tekstowi kultury (literatura, film, muzyka, malarstwo) przedstawiona i przedyskutowania na ze studentami w trakcie zajęć. Dwie prezentacje w każdym semestrze.</w:t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podsumowująca</w:t>
      </w:r>
    </w:p>
    <w:tbl>
      <w:tblPr>
        <w:tblStyle w:val="Table8"/>
        <w:tblW w:w="6256.0" w:type="dxa"/>
        <w:jc w:val="left"/>
        <w:tblInd w:w="108.0" w:type="dxa"/>
        <w:tblLayout w:type="fixed"/>
        <w:tblLook w:val="0000"/>
      </w:tblPr>
      <w:tblGrid>
        <w:gridCol w:w="959"/>
        <w:gridCol w:w="5297"/>
        <w:tblGridChange w:id="0">
          <w:tblGrid>
            <w:gridCol w:w="959"/>
            <w:gridCol w:w="52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przedmiotu na podstawie aktywnego uczestnictwa w zajęciach (F1) oceny prezentacji multimedialnych (F2) - średnia ważona.</w:t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9.2. Kryteria oceny</w:t>
      </w:r>
    </w:p>
    <w:p w:rsidR="00000000" w:rsidDel="00000000" w:rsidP="00000000" w:rsidRDefault="00000000" w:rsidRPr="00000000" w14:paraId="000000E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72.0" w:type="dxa"/>
        <w:jc w:val="left"/>
        <w:tblInd w:w="-155.0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  <w:tblGridChange w:id="0">
          <w:tblGrid>
            <w:gridCol w:w="817"/>
            <w:gridCol w:w="1757"/>
            <w:gridCol w:w="1757"/>
            <w:gridCol w:w="1757"/>
            <w:gridCol w:w="1757"/>
            <w:gridCol w:w="1827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hd w:fill="ffffff" w:val="clear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</w:t>
            </w:r>
          </w:p>
          <w:p w:rsidR="00000000" w:rsidDel="00000000" w:rsidP="00000000" w:rsidRDefault="00000000" w:rsidRPr="00000000" w14:paraId="000000E4">
            <w:pPr>
              <w:widowControl w:val="0"/>
              <w:shd w:fill="ffffff" w:val="clear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 efektu uczenia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4,5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W_01; W_02;</w:t>
            </w:r>
          </w:p>
          <w:p w:rsidR="00000000" w:rsidDel="00000000" w:rsidP="00000000" w:rsidRDefault="00000000" w:rsidRPr="00000000" w14:paraId="000000EB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W_03</w:t>
            </w:r>
          </w:p>
          <w:p w:rsidR="00000000" w:rsidDel="00000000" w:rsidP="00000000" w:rsidRDefault="00000000" w:rsidRPr="00000000" w14:paraId="000000EC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w stopniu elementarnym problematykę wybranych tekstów kultury krajów Europy środkowo-wschodniej z XX i XXI w i w znikomym stopniu orientuje się problematyce społeczno-historycznej stanowiącej tło omawianych utworów; Student/ka zna podstawowe metody analizy i interpretacji różnych tekstów kultury.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ogólnie problematykę wybranych tekstów kultury krajów Europy środkowo-wschodniej z XX i XXI w i w stopniu podstawowym orientuje się problematyce społeczno-historycznej stanowiącej tło omawianych utworów; Student/ka zna podstawowe metody analizy i interpretacji różnych tekstów kultury.</w:t>
            </w:r>
          </w:p>
          <w:p w:rsidR="00000000" w:rsidDel="00000000" w:rsidP="00000000" w:rsidRDefault="00000000" w:rsidRPr="00000000" w14:paraId="000000E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w stopniu dobrym problematykę wybranych tekstów kultury krajów Europy środkowo-wschodniej z XX i XXI w i dobrze orientuje się problematyce społeczno-historycznej stanowiącej tło omawianych utworów; Student/ka zna zna adekwatne metody analizy i interpretacji różnych tekstów kultury.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w stopniu więcej niż dobrym problematykę wybranych tekstów kultury krajów Europy środkowo-wschodniej z XX i XXI w i dobrze orientuje się problematyce społeczno-historycznej stanowiącej tło omawianych utworów; Student/ka zna adekwatne metody analizy i interpretacji różnych tekstów kultury.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w stopniu bardzo dobrym problematykę wybranych tekstów kultury krajów Europy środkowo-wschodniej z XX i XXI w i doskonale orientuje się problematyce społeczno-historycznej stanowiącej tło omawianych utworów; Student/ka  dysponuje zaawansowaną wiedzą nt metod analizy i interpretacji różnych tekstów kultury.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U_01;</w:t>
            </w:r>
          </w:p>
          <w:p w:rsidR="00000000" w:rsidDel="00000000" w:rsidP="00000000" w:rsidRDefault="00000000" w:rsidRPr="00000000" w14:paraId="000000F5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U_02</w:t>
            </w:r>
          </w:p>
          <w:p w:rsidR="00000000" w:rsidDel="00000000" w:rsidP="00000000" w:rsidRDefault="00000000" w:rsidRPr="00000000" w14:paraId="000000F6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nielicznych przypadkach sklasyfikować  tekst kultury w obrębie procesu przemian współczesnej kultury, potrafi w dostatecznym stopniu analizować i interpretować teksty kultury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połowie przypadków sklasyfikować tekst kultury w obrębie procesu przemian współczesnej kultury, potrafi w dostatecznym stopniu analizować i interpretować teksty kultury 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 ponad połowie przypadków sklasyfikować tekst kultury w obrębie procesu przemian współczesnej kultury, potrafi w dobrym stopniu analizować i interpretować teksty kultury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 większości przypadków sklasyfikować tekst kultury w obrębie procesu przemian współczesnej kultury, potrafi w więcej niż dobrym stopniu analizować i interpretować teksty kultury  z uwzględnieniem  odpowiednich kontekstów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samodzielnie we wszystkich przypadkach sklasyfikować tekst kultury w obrębie procesu przemian współczesnej kultury, potrafi w dobrym stopniu analizować i interpretować teksty kultury z uwzględnieniem odpowiednich kontekstów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K_01;</w:t>
            </w:r>
          </w:p>
          <w:p w:rsidR="00000000" w:rsidDel="00000000" w:rsidP="00000000" w:rsidRDefault="00000000" w:rsidRPr="00000000" w14:paraId="000000FD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minimalną świadomość odpowiedzialności za zachowanie dziedzictwa kulturowego Europy i jego znaczenia dla kultury polskiej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dostateczną świadomość odpowiedzialności za zachowanie dziedzictwa kulturowego Europy i jego znaczenia dla kultury polskiej.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dosyć dużą świadomość odpowiedzialności za zachowanie dziedzictwa kulturowego Europy i jego znaczenia dla kultury polskiej.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się dużą świadomością odpowiedzialności za zachowanie dziedzictwa kulturowego Europy i jego znaczenia dla kultury polskiej.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się bardzo dużą świadomością odpowiedzialności za zachowanie dziedzictwa kulturowego Europy i jego znaczenia dla kultury polskiej</w:t>
            </w:r>
          </w:p>
        </w:tc>
      </w:tr>
    </w:tbl>
    <w:p w:rsidR="00000000" w:rsidDel="00000000" w:rsidP="00000000" w:rsidRDefault="00000000" w:rsidRPr="00000000" w14:paraId="00000103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Literatura podstawowa i uzupełniająca</w:t>
      </w:r>
    </w:p>
    <w:p w:rsidR="00000000" w:rsidDel="00000000" w:rsidP="00000000" w:rsidRDefault="00000000" w:rsidRPr="00000000" w14:paraId="00000106">
      <w:pPr>
        <w:widowControl w:val="0"/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567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Historia Europy Środkowo-Wschodniej, t. 1–2, red. J. Kłoczowski, Lublin 2000</w:t>
      </w:r>
    </w:p>
    <w:p w:rsidR="00000000" w:rsidDel="00000000" w:rsidP="00000000" w:rsidRDefault="00000000" w:rsidRPr="00000000" w14:paraId="00000108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Andruchowycz, A. Stasiuk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Dwa eseje o Europie zwanej środkową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Wołowiec 2000.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Cz. Miłosz,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Szukanie ojczyzny, </w:t>
      </w:r>
      <w:r w:rsidDel="00000000" w:rsidR="00000000" w:rsidRPr="00000000">
        <w:rPr>
          <w:rFonts w:ascii="Arial" w:cs="Arial" w:eastAsia="Arial" w:hAnsi="Arial"/>
          <w:rtl w:val="0"/>
        </w:rPr>
        <w:t xml:space="preserve">różne wydania.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Cz. Miłosz,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Rodzinna Europa</w:t>
      </w:r>
      <w:r w:rsidDel="00000000" w:rsidR="00000000" w:rsidRPr="00000000">
        <w:rPr>
          <w:rFonts w:ascii="Arial" w:cs="Arial" w:eastAsia="Arial" w:hAnsi="Arial"/>
          <w:rtl w:val="0"/>
        </w:rPr>
        <w:t xml:space="preserve">, różne wydania.</w:t>
      </w:r>
    </w:p>
    <w:p w:rsidR="00000000" w:rsidDel="00000000" w:rsidP="00000000" w:rsidRDefault="00000000" w:rsidRPr="00000000" w14:paraId="0000010B">
      <w:pPr>
        <w:widowControl w:val="0"/>
        <w:shd w:fill="ffffff" w:val="clear"/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Macierz realizacji zajęć</w:t>
      </w:r>
    </w:p>
    <w:tbl>
      <w:tblPr>
        <w:tblStyle w:val="Table10"/>
        <w:tblW w:w="9639.46785924455" w:type="dxa"/>
        <w:jc w:val="left"/>
        <w:tblInd w:w="-176.0" w:type="dxa"/>
        <w:tblLayout w:type="fixed"/>
        <w:tblLook w:val="0000"/>
      </w:tblPr>
      <w:tblGrid>
        <w:gridCol w:w="1418"/>
        <w:gridCol w:w="1935.4008721131438"/>
        <w:gridCol w:w="1325.0669871314058"/>
        <w:gridCol w:w="1559"/>
        <w:gridCol w:w="1701"/>
        <w:gridCol w:w="1701"/>
        <w:tblGridChange w:id="0">
          <w:tblGrid>
            <w:gridCol w:w="1418"/>
            <w:gridCol w:w="1935.4008721131438"/>
            <w:gridCol w:w="1325.0669871314058"/>
            <w:gridCol w:w="1559"/>
            <w:gridCol w:w="1701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efektu uczenia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Odniesienie efektu do efektów zdefiniowanych dla programu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Treści programowe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Narzędzia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Sposoby oceny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C1, C2, 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C1, C2, 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C1, C2, 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F1, F2,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K_U01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C2, 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K_K05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3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Obciążenie pracą studenta</w:t>
      </w:r>
    </w:p>
    <w:tbl>
      <w:tblPr>
        <w:tblStyle w:val="Table11"/>
        <w:tblW w:w="9639.0" w:type="dxa"/>
        <w:jc w:val="left"/>
        <w:tblInd w:w="108.0" w:type="dxa"/>
        <w:tblLayout w:type="fixed"/>
        <w:tblLook w:val="0000"/>
      </w:tblPr>
      <w:tblGrid>
        <w:gridCol w:w="6237"/>
        <w:gridCol w:w="3402"/>
        <w:tblGridChange w:id="0">
          <w:tblGrid>
            <w:gridCol w:w="6237"/>
            <w:gridCol w:w="340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Średnia liczba godzin na zrealizowanie aktywności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wykładach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ćwiczeniach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konwersatoriach/laboratoriach/projektach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praktyce zawodowej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nauczyciela akademickiego w egzaminie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konsultacjach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hd w:fill="ffffff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 godzin kontaktowych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Samodzielne studiowanie treści wykładów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Samodzielne przygotowanie do zajęć kształtujących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konsultacji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egzaminu i kolokwiów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hd w:fill="ffffff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 godzin pracy własnej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Sumaryczne obciążenie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punktów ECTS za zajęcia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Obciążenie studenta zajęciami kształtującymi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punktów ECTS za zajęcia kształtujące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57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Zatwierdzenie karty zajęć do realizacji.</w:t>
      </w:r>
    </w:p>
    <w:p w:rsidR="00000000" w:rsidDel="00000000" w:rsidP="00000000" w:rsidRDefault="00000000" w:rsidRPr="00000000" w14:paraId="0000015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Odpowiedzialny za przedmiot: dr Jan Zięba</w:t>
      </w:r>
    </w:p>
    <w:p w:rsidR="00000000" w:rsidDel="00000000" w:rsidP="00000000" w:rsidRDefault="00000000" w:rsidRPr="00000000" w14:paraId="0000015B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Dyrektor Instytutu: </w:t>
      </w:r>
    </w:p>
    <w:p w:rsidR="00000000" w:rsidDel="00000000" w:rsidP="00000000" w:rsidRDefault="00000000" w:rsidRPr="00000000" w14:paraId="0000015D">
      <w:pPr>
        <w:widowControl w:val="0"/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after="0" w:line="240" w:lineRule="auto"/>
        <w:ind w:firstLine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65" w:top="1440" w:left="1423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