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KARTA PRZEDMIOTU/MODUŁU/SYLABUS PRZEDMIOTOWY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 Przedmiot i jego usytuowanie w systemie studiów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5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218"/>
        <w:gridCol w:w="5387"/>
        <w:tblGridChange w:id="0">
          <w:tblGrid>
            <w:gridCol w:w="4218"/>
            <w:gridCol w:w="5387"/>
          </w:tblGrid>
        </w:tblGridChange>
      </w:tblGrid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Jednostka prowadząca kierunek studiów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Instytut Humanistyczny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Nazwa kierunku studiów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Filologia polska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Forma prowadzenia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studiów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Profil studiów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praktyczny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Poziom kształcenia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Studia I stopnia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Nazwa przedmiotu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Warsztaty reklamy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public relations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Kod przedmiotu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FP-PP-BM-O-08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Poziom/kategoria przedmiotu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Przedmiot specjalnościowy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Status przedmiotu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Obowiązkowy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Usytuowanie przedmiotu w planie studiów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Semestr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Język wykładowy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Polski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Liczba punktów ECTS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Koordynator przedmiotu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dr Jan Zięba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Odpowiedzialny za realizację przedmiotu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dr Jan Zięba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Formy zajęć dydaktycznych i ich wymiar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(ilość godzin)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2.000000000002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068"/>
        <w:gridCol w:w="1230"/>
        <w:gridCol w:w="1989"/>
        <w:gridCol w:w="1552"/>
        <w:gridCol w:w="1147"/>
        <w:gridCol w:w="1531"/>
        <w:gridCol w:w="1145"/>
        <w:tblGridChange w:id="0">
          <w:tblGrid>
            <w:gridCol w:w="1068"/>
            <w:gridCol w:w="1230"/>
            <w:gridCol w:w="1989"/>
            <w:gridCol w:w="1552"/>
            <w:gridCol w:w="1147"/>
            <w:gridCol w:w="1531"/>
            <w:gridCol w:w="1145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Wykład DW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Projekt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Praktyka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DPZ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Wymagania wstępne w zakresie wiedzy, umiejętności i innych kompetencji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 uczestniczący w zajęciach powinien wcześniej zaliczyć przedmioty przewidziane w programie w semestrach 1-4.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Efekty kształcenia przedmiotu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wraz z odniesieniem do efektów kształcenia dla obszaru (obszarów) i kierunku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5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870"/>
        <w:gridCol w:w="6300"/>
        <w:gridCol w:w="2715"/>
        <w:tblGridChange w:id="0">
          <w:tblGrid>
            <w:gridCol w:w="870"/>
            <w:gridCol w:w="6300"/>
            <w:gridCol w:w="2715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Opis efektów kształcenia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Odniesienie do kierunkowych efektów kształcenia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Zna terminologię z zakresu reklamy i public relations, orientuje się w problematyce teoretycznej obu dziedzin.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FlP1P_W09, FlP1P_W11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Potrafi wykorzystać wiedzę z zakresu reklamy i PR w planowaniu i formułowaniu strategii wizerunkowej lub reklamowej odpowiadającej na właściwie zdiagnozowane potrzeby dowolnej firmy lub instytucji.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FlP1P_U05, FlP1P_U12, FlP1P_U19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Potrafi zaplanować i przeprowadzić kampanię promocyjno-wizerunkową na rzecz dowolnej instytucji lub organizacji z wykorzystaniem różnych metod oraz mediów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FlP1P_U05, FlP1P_U13, FlP1P_U14, FlP1P_U18, FlP1P_U19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51">
            <w:pPr>
              <w:keepNext w:val="1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Prawidłowo identyfikuje i rozstrzyga dylematy związane z prowadzeniem kampanii wizerunkowej lub reklamowej na rzecz dowolnej firmy lub instytucji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1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FlP1P_K04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5.Treści kształcenia – oddzielnie dla każdej formy zajęć dydaktycznych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(W – wykład; K – konwersatorium; C – ćwiczenia, P – projekt, S- seminarium, PZ – praktyka)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45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816"/>
        <w:gridCol w:w="8363"/>
        <w:gridCol w:w="866"/>
        <w:tblGridChange w:id="0">
          <w:tblGrid>
            <w:gridCol w:w="816"/>
            <w:gridCol w:w="8363"/>
            <w:gridCol w:w="866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Lp.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Tematyka zajęć – szczegółowy opis bloków tematycznych wg form dydaktycznych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Liczba godzin</w:t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Reklama a public relations. Porównanie dziedzin,  podstawowe rozróżnienia teoretyczne , terminologia.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5E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Wprowadzenie do teorii reklamy. Typy i strategie przekazu reklamowego.  Podział reklamy ze względu na funkcję, treść oraz wykorzystane media. Techniki manipulacji w tekstach reklamowych.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61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Nowe media a reklama 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public relations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.. Reklama w internecie oraz e-pr.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64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Podstawowe narzędzia reklamy internetowej - reklama w Google (AdWords, AdSense) i na Facebooku. Ćwiczenia praktyczne.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67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Reklama w kampaniach wizerunkowych różnych instytucji-  omówienie wybranych przykładów.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6A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“Czarny PR”, zarządzanie wizerunkiem w sytuacjach kryzysowych - teoria, przykłady i 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6D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52525"/>
                <w:sz w:val="24"/>
                <w:szCs w:val="24"/>
                <w:highlight w:val="white"/>
                <w:rtl w:val="0"/>
              </w:rPr>
              <w:t xml:space="preserve">Net PR Synergy (NPRS) kreowanie wizerunku wspierane metodami pozycjonowania (Podstawy SEO - Search Engine Optimization).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70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Kampanie wizerunkowe, kampanie reklamowe - przygotowanie, realizacja i prezentacje projektów grupowych oraz indywidualnych.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73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Podsumowanie zajęć, omówienie prac studentów.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76">
            <w:pPr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Suma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79">
            <w:pPr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7A">
      <w:pPr>
        <w:tabs>
          <w:tab w:val="left" w:pos="399"/>
        </w:tabs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399"/>
        </w:tabs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399"/>
        </w:tabs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399"/>
        </w:tabs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Metody weryfikacji efektów kształcenia  /w odniesieniu do poszczególnych efektów/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95.0" w:type="dxa"/>
        <w:jc w:val="left"/>
        <w:tblInd w:w="-13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320"/>
        <w:gridCol w:w="1035"/>
        <w:gridCol w:w="1155"/>
        <w:gridCol w:w="1350"/>
        <w:gridCol w:w="945"/>
        <w:gridCol w:w="1425"/>
        <w:gridCol w:w="1620"/>
        <w:gridCol w:w="945"/>
        <w:tblGridChange w:id="0">
          <w:tblGrid>
            <w:gridCol w:w="1320"/>
            <w:gridCol w:w="1035"/>
            <w:gridCol w:w="1155"/>
            <w:gridCol w:w="1350"/>
            <w:gridCol w:w="945"/>
            <w:gridCol w:w="1425"/>
            <w:gridCol w:w="1620"/>
            <w:gridCol w:w="945"/>
          </w:tblGrid>
        </w:tblGridChange>
      </w:tblGrid>
      <w:tr>
        <w:trPr>
          <w:trHeight w:val="380" w:hRule="atLeast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Efekt kształcenia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Forma weryfikacji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ind w:hanging="2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Egzamin ustny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Egzamin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Kolokwium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Projekt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Sprawdzian wejściowy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Sprawozdanie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Inne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Ocena osiągniętych efektów kształcenia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8.1. Sposoby oceny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Ocena formująca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6371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59"/>
        <w:gridCol w:w="5412"/>
        <w:tblGridChange w:id="0">
          <w:tblGrid>
            <w:gridCol w:w="959"/>
            <w:gridCol w:w="5412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B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Ocena pracy indywidualnej pracy studenta na zajęciach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B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Praca projektowa 1 – reklama w Internecie..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B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Praca projektowa 2 – reklama i PR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Ocena podsumowująca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5945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59"/>
        <w:gridCol w:w="4986"/>
        <w:tblGridChange w:id="0">
          <w:tblGrid>
            <w:gridCol w:w="959"/>
            <w:gridCol w:w="4986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C0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Zaliczenie tematyki ćwiczeń na podstawie oceny F1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C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Zaliczenie prac projektowych na podstawie średniej zwykłej F2 + F3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C4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C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Zaliczenie przedmiotu na podstawie średniej ważonej z uwzględnieniem aktywności studenta podczas zajęć (P1 – 30%, P2 – 70 %)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8.2. Kryteria oceny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20.0" w:type="dxa"/>
        <w:jc w:val="left"/>
        <w:tblInd w:w="-43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515"/>
        <w:gridCol w:w="2865"/>
        <w:gridCol w:w="2820"/>
        <w:gridCol w:w="2820"/>
        <w:tblGridChange w:id="0">
          <w:tblGrid>
            <w:gridCol w:w="1515"/>
            <w:gridCol w:w="2865"/>
            <w:gridCol w:w="2820"/>
            <w:gridCol w:w="2820"/>
          </w:tblGrid>
        </w:tblGridChange>
      </w:tblGrid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Efekt kształcenia (przedmiotu)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 ocenę 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 ocenę 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 ocenę 5</w:t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W_01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Zna podstawową terminologię z zakresu  reklamy i public relations.  Poprawnie definiuje potrzeby instytucji w zakresie reklamy i wizerunku. Potrafi sformułować  zarys strategii wizerunkowej lub reklamowej odpowiadającej na potrzeby wybranej instytucji, przedsiębiorstwa lub organizacji. </w:t>
            </w:r>
          </w:p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Zna podstawowe procedury i sposoby działania wykorzystywane przez firmy z branży PR w realizowaniu  projektów z zakresu kreowania  wizerunku i  reklamy.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Zna bogatą terminologię z zakresu  reklamy i public relations.  Sprawnie definiuje potrzeby instytucji w zakresie reklamy i wizerunku. Potrafi zaproponować strategię wizerunkową lub reklamową odpowiadającą na potrzeby wybranej instytucji, przedsiębiorstwa lub organizacji, wykazując się przy tym znaczną pomysłowością. </w:t>
            </w:r>
          </w:p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Dysponuje dobrą znajomością procedur i sposobów działania wykorzystywanych przez firmy z branży PR w realizowaniu  projektów z zakresu kreowania  wizerunku i  reklamy. Dysponuje znaczną wiedzą na temat istotnych z punktu widzenia PR i reklamy zjawisk społecznych.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Biegle posługuje się terminologią z zakresu  reklamy i public relations.  W trafny i pogłębiony sposób definiuje potrzeby instytucji w zakresie reklamy i wizerunku. Samodzielnie projektuje strategię wizerunkową lub reklamową odpowiadającą n a potrzeby wybranej instytucji, przedsiębiorstwa lub organizacji. W realizacji tych zadań odznacza się kreatywnością i oryginalnością </w:t>
            </w:r>
          </w:p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Dysponuje pogłębiona wiedzą na temat procedur i sposobów działania wykorzystywanych przez firmy z branży PR w realizowaniu  projektów z zakresu kreowania  wizerunku i  reklamy.  Potrafi  dokonać pogłębionej analizy zjawiska społecznych istotnych  z punktu widzenia PR  i reklamy.  </w:t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U_01, U_02, K_01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Potrafi wykorzystywać wiedzę z zakresu PR i reklamy przy planowaniu i realizowaniu kampanii promocyjnej i reklamowej na rzecz dowolnej instytucji firmy lub organizacji.  W realizowaniu przedsięwzięcia wykorzystuje  odpowiednie narzędzia  komputerowe a także wiedzę na temat wybranych  technik i strategii. Dobrze współpracuje w ramach grupy,  poprawnie realizuje przydzielone zadania.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Swobodnie korzysta z wiedzę na temat PR i reklamy przy planowaniu i realizowaniu kampanii promocyjnej i reklamowej na rzecz dowolnej instytucji firmy lub organizacji.  W realizowaniu takiego przedsięwzięcia sprawnie posługuje się odpowiednimi narzędziami  komputerowymi. Dysponuje znaczącą wiedzą na temat technik i strategii z dziedziny PR ii reklamy. Dobrze współpracuje w ramach grupy,  właściwie realizuje przydzielone zadania.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Twórczo korzysta z wiedzy z zakresu PR i reklamy przy planowaniu i realizowaniu kampanii promocyjnej i reklamowej na rzecz dowolnej instytucji firmy lub organizacji. W realizowaniu takiego przedsięwzięcia  biegle posługuje się zaawansowanymi narzędziami  komputerowymi i internetowymi.  Swobodnie korzysta z pogłębionej wiedzy na temat technik i strategii z dziedziny PR i reklamy. W ramach grupy projektowej wyznacza kierunek prac, proponuje, inicjuje nowe oryginalne rozwiązania. Sprawnie realizuje przydzielone zadania.</w:t>
            </w:r>
          </w:p>
        </w:tc>
      </w:tr>
    </w:tbl>
    <w:p w:rsidR="00000000" w:rsidDel="00000000" w:rsidP="00000000" w:rsidRDefault="00000000" w:rsidRPr="00000000" w14:paraId="000000E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Literatura podstawowa i uzupełniająca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Literatura podstawowa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283" w:hanging="28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Black S.,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Public relations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Kraków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283" w:hanging="28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Wojcik K.,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Public Relations od A do Z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Tom I, Warszawa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283" w:hanging="28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White R.,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Reklama, czyli co to jest i jak to się robi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Warszawa 1996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283" w:hanging="28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Wiedza o reklamie, praca zbiorowa, Bielsko Biała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283" w:hanging="28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Wójcik K. 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Public relations. Wiarygodny dialog z otoczeniem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Warszawa 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283" w:hanging="28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Żbikowska A.,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Public relations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Warszawa 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Literatura uzupełniająca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283" w:hanging="28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Benedikt A., </w:t>
      </w:r>
      <w:r w:rsidDel="00000000" w:rsidR="00000000" w:rsidRPr="00000000">
        <w:rPr>
          <w:rFonts w:ascii="Calibri" w:cs="Calibri" w:eastAsia="Calibri" w:hAnsi="Calibri"/>
          <w:i w:val="1"/>
          <w:color w:val="333333"/>
          <w:sz w:val="24"/>
          <w:szCs w:val="24"/>
          <w:highlight w:val="white"/>
          <w:rtl w:val="0"/>
        </w:rPr>
        <w:t xml:space="preserve">Reklama jako proces komunikacji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, Wrocław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283" w:hanging="28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Bogunia-Borowska M., </w:t>
      </w:r>
      <w:r w:rsidDel="00000000" w:rsidR="00000000" w:rsidRPr="00000000">
        <w:rPr>
          <w:rFonts w:ascii="Calibri" w:cs="Calibri" w:eastAsia="Calibri" w:hAnsi="Calibri"/>
          <w:i w:val="1"/>
          <w:color w:val="333333"/>
          <w:sz w:val="24"/>
          <w:szCs w:val="24"/>
          <w:highlight w:val="white"/>
          <w:rtl w:val="0"/>
        </w:rPr>
        <w:t xml:space="preserve">Reklama jako tworzenie rzeczywistości społecznej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. - Kraków : Wydaw. Uniw. Jagiellońskiego, cop.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283" w:hanging="28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Cialdini B. R.,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Wywieranie wpływu na ludzi. Teoria i praktyka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Gdańsk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283" w:hanging="28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Doliński D., </w:t>
      </w:r>
      <w:r w:rsidDel="00000000" w:rsidR="00000000" w:rsidRPr="00000000">
        <w:rPr>
          <w:rFonts w:ascii="Calibri" w:cs="Calibri" w:eastAsia="Calibri" w:hAnsi="Calibri"/>
          <w:i w:val="1"/>
          <w:color w:val="333333"/>
          <w:sz w:val="24"/>
          <w:szCs w:val="24"/>
          <w:highlight w:val="white"/>
          <w:rtl w:val="0"/>
        </w:rPr>
        <w:t xml:space="preserve">Psychologiczne mechanizmy reklamy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, Gdańsk 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left="283" w:hanging="28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Doliński D.,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Techniki wpływu społecznego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Warszawa 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283" w:hanging="28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Kasztelan E., </w:t>
      </w:r>
      <w:r w:rsidDel="00000000" w:rsidR="00000000" w:rsidRPr="00000000">
        <w:rPr>
          <w:rFonts w:ascii="Calibri" w:cs="Calibri" w:eastAsia="Calibri" w:hAnsi="Calibri"/>
          <w:i w:val="1"/>
          <w:color w:val="333333"/>
          <w:sz w:val="24"/>
          <w:szCs w:val="24"/>
          <w:highlight w:val="white"/>
          <w:rtl w:val="0"/>
        </w:rPr>
        <w:t xml:space="preserve">Stan zareklamowania : reklama wobec dziecka w środkach masowego przekazu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. - Wrocław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283" w:hanging="28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Goban-Klas T.,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Public relations czyli promocja reputacji. Pojęcia, definicje, uwarunkowania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Warszawa, 1996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left="283" w:hanging="28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Świątkowska T.,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Public relations a demokracja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Warszawa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left="283" w:hanging="28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Wasilewski P. (red.),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Pionierzy i tytani polskiej reklamy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Kraków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283" w:hanging="28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Wasilewski P. (red.),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Szlachetna propaganda dobroci, czyli drugi tom o reklamie społecznej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Kraków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283" w:hanging="28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Zimny R.,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Kreowanie obrazów świata w tekstach reklamowych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Warszawa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283" w:hanging="288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Nakład pracy studenta - bilans punktów 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Zajęcia z bezpośrednim udziałem prowadzącego (tzw. kontaktowe):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konwersatorium prowadzone w wymiarze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30 godz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semestralnie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Praca samodzielna studenta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hanging="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Czytanie lektur: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 godz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hanging="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Przygotowanie do kolokwium: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5 godz.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hanging="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Praca nad projektami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 godz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hanging="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Razem praca samodzielna: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30 godz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Suma godzin (kontaktowych i samodzielnych)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60 godz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Liczba punktów ECTS –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 tym kontaktowe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 praca własna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Zatwierdzenie karty przedmiotu do realizacji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Odpowiedzialny za przedmiot: dr Jan Zięba</w:t>
      </w:r>
    </w:p>
    <w:p w:rsidR="00000000" w:rsidDel="00000000" w:rsidP="00000000" w:rsidRDefault="00000000" w:rsidRPr="00000000" w14:paraId="00000117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Dyrektor Instytutu: </w:t>
      </w:r>
    </w:p>
    <w:p w:rsidR="00000000" w:rsidDel="00000000" w:rsidP="00000000" w:rsidRDefault="00000000" w:rsidRPr="00000000" w14:paraId="00000119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11A">
      <w:pPr>
        <w:ind w:firstLine="360"/>
        <w:rPr>
          <w:rFonts w:ascii="Calibri" w:cs="Calibri" w:eastAsia="Calibri" w:hAnsi="Calibri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Przemyśl, data</w:t>
      </w:r>
    </w:p>
    <w:sectPr>
      <w:footerReference r:id="rId6" w:type="default"/>
      <w:pgSz w:h="16838" w:w="11906"/>
      <w:pgMar w:bottom="765" w:top="1440" w:left="1421" w:right="113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an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widowControl w:val="1"/>
      <w:tabs>
        <w:tab w:val="center" w:pos="4536"/>
        <w:tab w:val="right" w:pos="9072"/>
      </w:tabs>
      <w:spacing w:after="708" w:line="276" w:lineRule="auto"/>
      <w:ind w:right="36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0" locked="0" relativeHeight="0" simplePos="0">
              <wp:simplePos x="0" y="0"/>
              <wp:positionH relativeFrom="column">
                <wp:posOffset>5857875</wp:posOffset>
              </wp:positionH>
              <wp:positionV relativeFrom="paragraph">
                <wp:posOffset>-4759</wp:posOffset>
              </wp:positionV>
              <wp:extent cx="134690" cy="1905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90" cy="190500"/>
                      </a:xfrm>
                      <a:prstGeom prst="rect">
                        <a:avLst/>
                      </a:prstGeom>
                      <a:noFill/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0" locked="0" relativeHeight="0" simplePos="0">
              <wp:simplePos x="0" y="0"/>
              <wp:positionH relativeFrom="column">
                <wp:posOffset>5857875</wp:posOffset>
              </wp:positionH>
              <wp:positionV relativeFrom="paragraph">
                <wp:posOffset>-4759</wp:posOffset>
              </wp:positionV>
              <wp:extent cx="134690" cy="1905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69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120" w:before="240" w:lineRule="auto"/>
    </w:pPr>
    <w:rPr>
      <w:rFonts w:ascii="Liberation Sans" w:cs="Liberation Sans" w:eastAsia="Liberation Sans" w:hAnsi="Liberation Sans"/>
      <w:i w:val="1"/>
      <w:color w:val="666666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