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AD" w:rsidRPr="009B3ACF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color w:val="FF0000"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  <w:r w:rsidR="009B3ACF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9B3ACF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9B3ACF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9B3ACF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9B3ACF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9B3ACF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9B3ACF" w:rsidRPr="009B3ACF">
        <w:rPr>
          <w:rFonts w:ascii="Times New Roman" w:eastAsia="Times New Roman" w:hAnsi="Times New Roman" w:cs="Arial"/>
          <w:bCs/>
          <w:caps/>
          <w:color w:val="FF0000"/>
          <w:kern w:val="1"/>
          <w:sz w:val="24"/>
          <w:szCs w:val="24"/>
          <w:lang w:eastAsia="ar-SA"/>
        </w:rPr>
        <w:t>ANEKS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2F2DAD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2F2DAD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angielska</w:t>
            </w:r>
          </w:p>
        </w:tc>
      </w:tr>
      <w:tr w:rsidR="002F2DAD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2F2DAD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2F2DAD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2F2DAD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24572C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24572C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Technika i organizacja pracy tłumacza</w:t>
            </w:r>
          </w:p>
        </w:tc>
      </w:tr>
      <w:tr w:rsidR="002F2DAD" w:rsidRPr="00E34138" w:rsidTr="00BF709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DF46DE" w:rsidRDefault="002F2DAD" w:rsidP="00BF7091">
            <w:pPr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IHM-TP-02</w:t>
            </w:r>
          </w:p>
        </w:tc>
      </w:tr>
      <w:tr w:rsidR="002F2DAD" w:rsidRPr="00E34138" w:rsidTr="00BF709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przedmiot: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specjalizacyjny</w:t>
            </w:r>
          </w:p>
        </w:tc>
      </w:tr>
      <w:tr w:rsidR="002F2DAD" w:rsidRPr="00E34138" w:rsidTr="00BF709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2F2DAD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FF0000"/>
                <w:kern w:val="24"/>
                <w:sz w:val="24"/>
                <w:szCs w:val="24"/>
              </w:rPr>
            </w:pPr>
            <w:r w:rsidRPr="002F2DAD">
              <w:rPr>
                <w:rFonts w:ascii="Calibri" w:hAnsi="Calibri" w:cs="Calibri"/>
                <w:color w:val="FF0000"/>
                <w:kern w:val="24"/>
                <w:sz w:val="24"/>
                <w:szCs w:val="24"/>
              </w:rPr>
              <w:t>semestr II</w:t>
            </w:r>
          </w:p>
        </w:tc>
      </w:tr>
      <w:tr w:rsidR="002F2DAD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polski/angielski</w:t>
            </w:r>
          </w:p>
        </w:tc>
      </w:tr>
      <w:tr w:rsidR="002F2DAD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2F2DAD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2F2DAD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DAD" w:rsidRPr="005F6940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F6940"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2F2DAD" w:rsidRPr="00E34138" w:rsidRDefault="002F2DAD" w:rsidP="002F2DA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Pr="00E34138" w:rsidRDefault="002F2DAD" w:rsidP="002F2D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F2DAD" w:rsidRPr="00E34138" w:rsidTr="00BF709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2F2DAD" w:rsidRPr="00E34138" w:rsidRDefault="002F2DAD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2F2DAD" w:rsidRPr="00E34138" w:rsidRDefault="002F2DAD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2F2DAD" w:rsidRPr="00E34138" w:rsidRDefault="002F2DAD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2F2DAD" w:rsidRPr="00E34138" w:rsidRDefault="002F2DAD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2F2DAD" w:rsidRPr="00E34138" w:rsidRDefault="002F2DAD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F2DAD" w:rsidRPr="00E34138" w:rsidTr="00BF709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Default="002F2DAD" w:rsidP="002F2D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2F2DAD" w:rsidRPr="00E34138" w:rsidRDefault="002F2DAD" w:rsidP="002F2D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F2DAD" w:rsidRPr="00BC443D" w:rsidRDefault="002F2DAD" w:rsidP="002F2DAD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C1 - student </w:t>
      </w:r>
      <w:r>
        <w:rPr>
          <w:rFonts w:ascii="Calibri" w:hAnsi="Calibri"/>
          <w:sz w:val="24"/>
          <w:szCs w:val="24"/>
        </w:rPr>
        <w:t>poznaje wiedzę na temat pracy tłumacza w teorii i praktyce</w:t>
      </w:r>
      <w:r w:rsidRPr="00BC443D">
        <w:rPr>
          <w:rFonts w:ascii="Calibri" w:hAnsi="Calibri"/>
          <w:sz w:val="24"/>
          <w:szCs w:val="24"/>
        </w:rPr>
        <w:t>;</w:t>
      </w:r>
    </w:p>
    <w:p w:rsidR="002F2DAD" w:rsidRDefault="002F2DAD" w:rsidP="002F2DAD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C2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student potrafi rozpoznać różne rodzaje tłumaczeń i podać, czym się charakteryzują; </w:t>
      </w:r>
    </w:p>
    <w:p w:rsidR="002F2DAD" w:rsidRDefault="002F2DAD" w:rsidP="002F2DAD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 – student zapoznaje się z pracą tłumacza przysięgłego i z etyką zawodu.</w:t>
      </w:r>
    </w:p>
    <w:p w:rsidR="002F2DAD" w:rsidRDefault="002F2DAD" w:rsidP="002F2DAD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C4 – student doskonali znajomość języka angielskiego.</w:t>
      </w:r>
    </w:p>
    <w:p w:rsidR="002F2DAD" w:rsidRDefault="002F2DAD" w:rsidP="002F2DAD">
      <w:pPr>
        <w:shd w:val="clear" w:color="auto" w:fill="FFFFFF"/>
        <w:jc w:val="both"/>
        <w:rPr>
          <w:rFonts w:ascii="Calibri" w:hAnsi="Calibri"/>
          <w:sz w:val="24"/>
          <w:szCs w:val="24"/>
        </w:rPr>
      </w:pPr>
    </w:p>
    <w:p w:rsidR="002F2DAD" w:rsidRDefault="002F2DAD" w:rsidP="002F2DAD">
      <w:pPr>
        <w:shd w:val="clear" w:color="auto" w:fill="FFFFFF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2F2DAD" w:rsidRPr="00BC443D" w:rsidRDefault="002F2DAD" w:rsidP="002F2DA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Podstawowa wiedza o otaczającym świecie</w:t>
      </w:r>
      <w:r w:rsidRPr="00BC443D">
        <w:rPr>
          <w:rFonts w:ascii="Calibri" w:eastAsia="Cambria" w:hAnsi="Calibri" w:cs="Calibri"/>
          <w:sz w:val="24"/>
          <w:szCs w:val="24"/>
        </w:rPr>
        <w:t>;</w:t>
      </w:r>
    </w:p>
    <w:p w:rsidR="002F2DAD" w:rsidRPr="00BC443D" w:rsidRDefault="002F2DAD" w:rsidP="002F2DA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lastRenderedPageBreak/>
        <w:t>Umiejętność krytycznego myślenia i obiektywnej oceny różnych postaw</w:t>
      </w:r>
      <w:r w:rsidRPr="00BC443D">
        <w:rPr>
          <w:rFonts w:ascii="Calibri" w:eastAsia="Cambria" w:hAnsi="Calibri" w:cs="Calibri"/>
          <w:sz w:val="24"/>
          <w:szCs w:val="24"/>
        </w:rPr>
        <w:t>.</w:t>
      </w:r>
    </w:p>
    <w:p w:rsidR="002F2DAD" w:rsidRPr="00E34138" w:rsidRDefault="002F2DAD" w:rsidP="002F2DAD">
      <w:pPr>
        <w:shd w:val="clear" w:color="auto" w:fill="FFFFFF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2F2DAD" w:rsidRPr="00E34138" w:rsidTr="00BF7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tudent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poszerza swoją ogólną wiedzę humanistyczną oraz wiedzę o społeczeństwie i świecie współczesnym, ze szczególnym uwzględnieniem roli tłumacza w dzisiejszym świecie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językoznawczą odnośnie do języka angielskiego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K_W04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podstawową wiedzę językoznawczą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odnośnie do języka polskiego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K_W06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orientuje się w zagadnieniach t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worzenia i stosowani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 xml:space="preserve"> tłumaczeń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(przyczyny, zasady itp.)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redagować 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 języku polskim i angielskim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K_W10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i 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K_W12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BC443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posługiwać się językiem angielskim na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B2/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C1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tłumaczyć teksty o charakterze ogólnym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proste teksty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specjalistyczn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7C46F6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odnieść się krytycznie i porównać próbki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języków angielskiego i polskiego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K_U05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7C46F6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technologie informacyjne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zdobywania danych,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przygotowywania własnych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rezentacji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prac domowych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7C46F6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osiada umiejętność samodzielnego podnoszenia swoich umiejętności w zakresie języka angielskiego i tłumaczeń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</w:tr>
      <w:tr w:rsidR="002F2DAD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BC443D" w:rsidRDefault="002F2DAD" w:rsidP="00BF709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BC443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znaczenie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etyki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zasad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identyfikować i rozwiązywać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dylematy związane z wykonywaniem zawodu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tłumacza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</w:tr>
    </w:tbl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Pr="00DC28F2" w:rsidRDefault="002F2DAD" w:rsidP="002F2DAD">
      <w:pPr>
        <w:widowControl w:val="0"/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C28F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2F2DAD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F2DAD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Podstawowe informacje na temat tłumaczy; organizacje tłumaczy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F2DAD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W02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Jak można stać się tłumaczem przysięgłym i na czym polega jego praca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2F2DAD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Kodeks zawodowy i etyka pracy tłumacza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2F2DAD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Kompetencje i rola tłumacza we współczesnym świecie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2F2DAD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Narzędzia pracy tłumacza – od słowników papierowych do narzędzi CAT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F2DAD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Tłumaczenia  maszynowe – korzystać, czy się wystrzegać?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2F2DAD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Lokalizacja w tłumaczeniu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F2DAD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BC443D" w:rsidRDefault="002F2DAD" w:rsidP="00BF709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2F2DAD" w:rsidRPr="00E34138" w:rsidRDefault="002F2DAD" w:rsidP="002F2DA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/>
      </w:tblPr>
      <w:tblGrid>
        <w:gridCol w:w="1315"/>
        <w:gridCol w:w="791"/>
        <w:gridCol w:w="851"/>
        <w:gridCol w:w="850"/>
        <w:gridCol w:w="709"/>
        <w:gridCol w:w="850"/>
        <w:gridCol w:w="993"/>
        <w:gridCol w:w="992"/>
        <w:gridCol w:w="2551"/>
      </w:tblGrid>
      <w:tr w:rsidR="002F2DAD" w:rsidRPr="00E34138" w:rsidTr="00DE7B9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 xml:space="preserve">Dostosowanie do </w:t>
            </w:r>
          </w:p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kształcenia na odległość</w:t>
            </w: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2F2DAD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 xml:space="preserve">Zamiana kolokwium pisemnego na test </w:t>
            </w:r>
            <w:proofErr w:type="spellStart"/>
            <w:r w:rsidRPr="002F2DAD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>online</w:t>
            </w:r>
            <w:proofErr w:type="spellEnd"/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2F2DAD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 xml:space="preserve">Zamiana kolokwium pisemnego na test </w:t>
            </w:r>
            <w:proofErr w:type="spellStart"/>
            <w:r w:rsidRPr="002F2DAD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>online</w:t>
            </w:r>
            <w:proofErr w:type="spellEnd"/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2F2DAD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 xml:space="preserve">Zamiana kolokwium pisemnego na test </w:t>
            </w:r>
            <w:proofErr w:type="spellStart"/>
            <w:r w:rsidRPr="002F2DAD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>online</w:t>
            </w:r>
            <w:proofErr w:type="spellEnd"/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2F2D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2F2DAD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 xml:space="preserve">Zamiana kolokwium pisemnego na test </w:t>
            </w:r>
            <w:proofErr w:type="spellStart"/>
            <w:r w:rsidRPr="002F2DAD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>online</w:t>
            </w:r>
            <w:proofErr w:type="spellEnd"/>
          </w:p>
        </w:tc>
      </w:tr>
    </w:tbl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9762" w:type="dxa"/>
        <w:tblInd w:w="-15" w:type="dxa"/>
        <w:tblLayout w:type="fixed"/>
        <w:tblLook w:val="0000"/>
      </w:tblPr>
      <w:tblGrid>
        <w:gridCol w:w="2372"/>
        <w:gridCol w:w="2970"/>
        <w:gridCol w:w="4420"/>
      </w:tblGrid>
      <w:tr w:rsidR="002F2DAD" w:rsidRPr="00E34138" w:rsidTr="002F2DA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Default="002F2DAD" w:rsidP="002F2D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 xml:space="preserve">Dostosowanie do </w:t>
            </w:r>
          </w:p>
          <w:p w:rsidR="002F2DAD" w:rsidRPr="00E34138" w:rsidRDefault="002F2DAD" w:rsidP="002F2D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 xml:space="preserve">                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kształcenia na odległość</w:t>
            </w:r>
          </w:p>
        </w:tc>
      </w:tr>
      <w:tr w:rsidR="002F2DAD" w:rsidRPr="00E34138" w:rsidTr="002F2DA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7F279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F279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N1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Wykład połączony </w:t>
            </w:r>
          </w:p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z prezentacja multimedialną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2F2DAD" w:rsidRDefault="002F2DAD">
            <w:pPr>
              <w:spacing w:after="200" w:line="276" w:lineRule="auto"/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2F2DAD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Zamiana wykładu „na żywo” na przesyłanie studentom materiałów </w:t>
            </w:r>
            <w:proofErr w:type="spellStart"/>
            <w:r w:rsidRPr="002F2DAD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>online</w:t>
            </w:r>
            <w:proofErr w:type="spellEnd"/>
            <w:r w:rsidRPr="002F2DAD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 do samodzielnego studiowania (z dołączonymi pytaniami)</w:t>
            </w:r>
          </w:p>
          <w:p w:rsidR="002F2DAD" w:rsidRPr="00E34138" w:rsidRDefault="002F2DAD" w:rsidP="002F2D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F2DAD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F2DAD" w:rsidRDefault="002F2DAD" w:rsidP="002F2DAD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 w:rsidRPr="00B53EEC">
        <w:rPr>
          <w:rFonts w:ascii="Times New Roman" w:eastAsia="Times New Roman" w:hAnsi="Times New Roman" w:cs="Calibri"/>
          <w:i/>
          <w:kern w:val="1"/>
          <w:szCs w:val="24"/>
          <w:lang w:eastAsia="ar-SA"/>
        </w:rPr>
        <w:t xml:space="preserve">Dostosowanie do </w:t>
      </w:r>
    </w:p>
    <w:p w:rsidR="002F2DAD" w:rsidRPr="00E34138" w:rsidRDefault="002F2DAD" w:rsidP="002F2DAD">
      <w:pPr>
        <w:widowControl w:val="0"/>
        <w:suppressAutoHyphens/>
        <w:autoSpaceDE w:val="0"/>
        <w:spacing w:after="0" w:line="240" w:lineRule="auto"/>
        <w:ind w:left="4944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53EEC">
        <w:rPr>
          <w:rFonts w:ascii="Times New Roman" w:eastAsia="Times New Roman" w:hAnsi="Times New Roman" w:cs="Calibri"/>
          <w:i/>
          <w:kern w:val="1"/>
          <w:szCs w:val="24"/>
          <w:lang w:eastAsia="ar-SA"/>
        </w:rPr>
        <w:t>kształcenia na odległość</w:t>
      </w:r>
    </w:p>
    <w:tbl>
      <w:tblPr>
        <w:tblW w:w="9531" w:type="dxa"/>
        <w:tblInd w:w="108" w:type="dxa"/>
        <w:tblLayout w:type="fixed"/>
        <w:tblLook w:val="0000"/>
      </w:tblPr>
      <w:tblGrid>
        <w:gridCol w:w="959"/>
        <w:gridCol w:w="4286"/>
        <w:gridCol w:w="4286"/>
      </w:tblGrid>
      <w:tr w:rsidR="002F2DAD" w:rsidRPr="00E34138" w:rsidTr="002F2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DAD" w:rsidRP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</w:pPr>
            <w:r w:rsidRPr="002F2DAD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Zamiana kolokwium pisemnego w klasie na test </w:t>
            </w:r>
            <w:proofErr w:type="spellStart"/>
            <w:r w:rsidRPr="002F2DAD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>online</w:t>
            </w:r>
            <w:proofErr w:type="spellEnd"/>
            <w:r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; ocena aktywności i frekwencji na zajęciach </w:t>
            </w:r>
            <w:proofErr w:type="spellStart"/>
            <w:r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>online</w:t>
            </w:r>
            <w:proofErr w:type="spellEnd"/>
          </w:p>
        </w:tc>
      </w:tr>
      <w:tr w:rsidR="002F2DAD" w:rsidRPr="00E34138" w:rsidTr="002F2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2F2DAD" w:rsidRPr="00E34138" w:rsidRDefault="002F2DAD" w:rsidP="002F2DA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Default="002F2DAD" w:rsidP="002F2DAD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 w:rsidRPr="00B53EEC">
        <w:rPr>
          <w:rFonts w:ascii="Times New Roman" w:eastAsia="Times New Roman" w:hAnsi="Times New Roman" w:cs="Calibri"/>
          <w:i/>
          <w:kern w:val="1"/>
          <w:szCs w:val="24"/>
          <w:lang w:eastAsia="ar-SA"/>
        </w:rPr>
        <w:t xml:space="preserve">Dostosowanie do </w:t>
      </w:r>
    </w:p>
    <w:p w:rsidR="002F2DAD" w:rsidRPr="00E34138" w:rsidRDefault="002F2DAD" w:rsidP="002F2DAD">
      <w:pPr>
        <w:widowControl w:val="0"/>
        <w:suppressAutoHyphens/>
        <w:autoSpaceDE w:val="0"/>
        <w:spacing w:after="0" w:line="240" w:lineRule="auto"/>
        <w:ind w:left="4944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53EEC">
        <w:rPr>
          <w:rFonts w:ascii="Times New Roman" w:eastAsia="Times New Roman" w:hAnsi="Times New Roman" w:cs="Calibri"/>
          <w:i/>
          <w:kern w:val="1"/>
          <w:szCs w:val="24"/>
          <w:lang w:eastAsia="ar-SA"/>
        </w:rPr>
        <w:t>kształcenia na odległość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286"/>
        <w:gridCol w:w="4286"/>
      </w:tblGrid>
      <w:tr w:rsidR="002F2DAD" w:rsidRPr="00E34138" w:rsidTr="002F2D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wykładów na podstawie </w:t>
            </w:r>
          </w:p>
          <w:p w:rsidR="002F2DAD" w:rsidRPr="00E34138" w:rsidRDefault="002F2DAD" w:rsidP="002F2DA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AD" w:rsidRPr="00A42813" w:rsidRDefault="00A42813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</w:pPr>
            <w:r w:rsidRPr="00A42813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>Średnia ocen z tabeli Ocena formująca</w:t>
            </w:r>
          </w:p>
        </w:tc>
      </w:tr>
    </w:tbl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F2DAD" w:rsidRPr="00E34138" w:rsidTr="00BF709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2F2DAD" w:rsidRPr="00E34138" w:rsidTr="00BF70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 – W_06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znikomą wiedzę dotyczącą tłumaczeń, zasad ich konstrukcji i redakcji oraz potrzeby ochrony wartości intelektualnej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pewną wiedzę dotyczącą tłumaczeń, zasad ich konstrukcji i redakcji oraz potrzeby ochrony wartości intelektualnej i wykazuje zainteresowanie tematem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sporą wiedzę dotyczącą tłumaczeń, zasad ich konstrukcji i redakcji oraz potrzeby ochrony wartości intelektualnej oraz wykazuje zainteresowanie tematem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dużą wiedzę dotyczącą tłumaczeń, zasad ich konstrukcji i redakcji oraz potrzeby ochrony wartości intelektualnej oraz wykazuje wyraźne zainteresowanie tematem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imponującą wiedzę dotyczącą tłumaczeń, zasad ich konstrukcji i redakcji oraz potrzeby ochrony wartości intelektualnej oraz wykazuje wyraźne zainteresowanie tematem</w:t>
            </w:r>
          </w:p>
        </w:tc>
      </w:tr>
      <w:tr w:rsidR="002F2DAD" w:rsidRPr="00E34138" w:rsidTr="00BF70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U_01-U_05</w:t>
            </w:r>
          </w:p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poniżej spodziewanego na danym etapie poziomu, często nie radzi sobie z tłumaczeniem tekstów, nie potrafi wyciągać wniosków z różnic w tekstach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 poniżej spodziewanego na danym etapie poziomu, radzi sobie z tłumaczeniem niektórych łatwiejszych tekstów, nie zawsze potrafi wyciągać wnioski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 różnic w tekstach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posługuje się językiem angielskim przeważnie na poziomie oczekiwanym na danym etapie, radzi sobie z tłumaczeniem większości tekstów, nie zawsze potrafi wyciągać wnioski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 różnic w tekstach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 posługuje się językiem angielskim  na poziomie oczekiwanym na danym etapie, radzi sobie z tłumaczeniem większości tekstów, potrafi wyciągać wnioski z różnic w tekstach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płynnie językiem angielskim, radzi sobie z tłumaczeniem większości tekstów, potrafi wyciągać wnioski z różnic w tekstach i podnosi własne umiejętności</w:t>
            </w:r>
          </w:p>
        </w:tc>
      </w:tr>
      <w:tr w:rsidR="002F2DAD" w:rsidRPr="00E34138" w:rsidTr="00BF70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</w:t>
            </w:r>
          </w:p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nie wykazuje większego szacunku dla zasad profesjonalizmu i etyki zawodowej; niezbyt sprawnie rozstrzyga pojawiające się ewentualne dylematy w tym zakresie lub ich nie zauważa.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rozumie konieczność istnienia zasad profesjonalizmu i etyki zawodowej; pojawiające się ewentualne dylematy w tym zakresie rozstrzyga czasem trafnie.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szanuje profesjonalizm i etykę zawodową tłumacza; zwykle trafnie rozstrzyga pojawiające się ewentualne dylematy w tym zakresie.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świadomość znaczenia profesjonalizmu zawodowego tłumacza, przestrzega etyki zawodowej; zwykle trafnie rozstrzyga pojawiające się ewentualne dylematy w tym zakresie.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dużą wiedzę na temat etyki zawodowej tłumacza; ma także ogromną intuicję, pozwalającą mu identyfikować dylematy i rozstrzygać je w trafny sposób.</w:t>
            </w:r>
          </w:p>
        </w:tc>
      </w:tr>
    </w:tbl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2F2DAD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F2DAD" w:rsidRPr="00871B5C" w:rsidRDefault="002F2DAD" w:rsidP="00871B5C">
      <w:pPr>
        <w:pStyle w:val="Akapitzlist"/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 w:rsidRPr="00871B5C">
        <w:rPr>
          <w:sz w:val="24"/>
          <w:szCs w:val="24"/>
        </w:rPr>
        <w:t>Ustawa z dn. 25 listopada 2004 o zawodzie tłumacza przysięgłego</w:t>
      </w:r>
      <w:r w:rsidRPr="00871B5C">
        <w:rPr>
          <w:b/>
          <w:sz w:val="24"/>
          <w:szCs w:val="24"/>
        </w:rPr>
        <w:t xml:space="preserve">                             </w:t>
      </w:r>
    </w:p>
    <w:p w:rsidR="002F2DAD" w:rsidRPr="00871B5C" w:rsidRDefault="002F2DAD" w:rsidP="00871B5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871B5C">
        <w:rPr>
          <w:rFonts w:cs="Calibri"/>
          <w:kern w:val="24"/>
          <w:sz w:val="24"/>
          <w:szCs w:val="24"/>
        </w:rPr>
        <w:t xml:space="preserve">„Kompetencja medialna tłumacza”, K. Stefaniak, w: </w:t>
      </w:r>
      <w:r w:rsidRPr="00871B5C">
        <w:rPr>
          <w:rFonts w:cs="Calibri"/>
          <w:i/>
          <w:kern w:val="24"/>
          <w:sz w:val="24"/>
          <w:szCs w:val="24"/>
        </w:rPr>
        <w:t xml:space="preserve">Rocznik </w:t>
      </w:r>
      <w:proofErr w:type="spellStart"/>
      <w:r w:rsidRPr="00871B5C">
        <w:rPr>
          <w:rFonts w:cs="Calibri"/>
          <w:i/>
          <w:kern w:val="24"/>
          <w:sz w:val="24"/>
          <w:szCs w:val="24"/>
        </w:rPr>
        <w:t>Przekładoznawczy</w:t>
      </w:r>
      <w:proofErr w:type="spellEnd"/>
      <w:r w:rsidRPr="00871B5C">
        <w:rPr>
          <w:rFonts w:cs="Calibri"/>
          <w:kern w:val="24"/>
          <w:sz w:val="24"/>
          <w:szCs w:val="24"/>
        </w:rPr>
        <w:t xml:space="preserve"> 3/4, 2007/2008</w:t>
      </w:r>
    </w:p>
    <w:p w:rsidR="002F2DAD" w:rsidRPr="00871B5C" w:rsidRDefault="002F2DAD" w:rsidP="00871B5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871B5C">
        <w:rPr>
          <w:rFonts w:cs="Calibri"/>
          <w:kern w:val="24"/>
          <w:sz w:val="24"/>
          <w:szCs w:val="24"/>
        </w:rPr>
        <w:t xml:space="preserve">„Kulturowe i językowe podstawy warsztatu pracy tłumacza”, J. Stopyra, w: </w:t>
      </w:r>
      <w:r w:rsidRPr="00871B5C">
        <w:rPr>
          <w:rFonts w:cs="Calibri"/>
          <w:i/>
          <w:kern w:val="24"/>
          <w:sz w:val="24"/>
          <w:szCs w:val="24"/>
        </w:rPr>
        <w:t xml:space="preserve">Studia </w:t>
      </w:r>
      <w:proofErr w:type="spellStart"/>
      <w:r w:rsidRPr="00871B5C">
        <w:rPr>
          <w:rFonts w:cs="Calibri"/>
          <w:i/>
          <w:kern w:val="24"/>
          <w:sz w:val="24"/>
          <w:szCs w:val="24"/>
        </w:rPr>
        <w:t>Linguistica</w:t>
      </w:r>
      <w:proofErr w:type="spellEnd"/>
      <w:r w:rsidRPr="00871B5C">
        <w:rPr>
          <w:rFonts w:cs="Calibri"/>
          <w:i/>
          <w:kern w:val="24"/>
          <w:sz w:val="24"/>
          <w:szCs w:val="24"/>
        </w:rPr>
        <w:t xml:space="preserve"> XXVIII</w:t>
      </w:r>
      <w:r w:rsidRPr="00871B5C">
        <w:rPr>
          <w:rFonts w:cs="Calibri"/>
          <w:kern w:val="24"/>
          <w:sz w:val="24"/>
          <w:szCs w:val="24"/>
        </w:rPr>
        <w:t xml:space="preserve"> Wrocław 2009</w:t>
      </w:r>
    </w:p>
    <w:p w:rsidR="002F2DAD" w:rsidRPr="00871B5C" w:rsidRDefault="002F2DAD" w:rsidP="00871B5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871B5C">
        <w:rPr>
          <w:rFonts w:cs="Calibri"/>
          <w:kern w:val="24"/>
          <w:sz w:val="24"/>
          <w:szCs w:val="24"/>
        </w:rPr>
        <w:t xml:space="preserve">„Tłumacze literaccy. Realia i warsztat pracy”, D. </w:t>
      </w:r>
      <w:proofErr w:type="spellStart"/>
      <w:r w:rsidRPr="00871B5C">
        <w:rPr>
          <w:rFonts w:cs="Calibri"/>
          <w:kern w:val="24"/>
          <w:sz w:val="24"/>
          <w:szCs w:val="24"/>
        </w:rPr>
        <w:t>Guttfeld</w:t>
      </w:r>
      <w:proofErr w:type="spellEnd"/>
      <w:r w:rsidRPr="00871B5C">
        <w:rPr>
          <w:rFonts w:cs="Calibri"/>
          <w:kern w:val="24"/>
          <w:sz w:val="24"/>
          <w:szCs w:val="24"/>
        </w:rPr>
        <w:t xml:space="preserve">, w: </w:t>
      </w:r>
      <w:r w:rsidRPr="00871B5C">
        <w:rPr>
          <w:rFonts w:cs="Calibri"/>
          <w:i/>
          <w:kern w:val="24"/>
          <w:sz w:val="24"/>
          <w:szCs w:val="24"/>
        </w:rPr>
        <w:t xml:space="preserve">Rocznik </w:t>
      </w:r>
      <w:proofErr w:type="spellStart"/>
      <w:r w:rsidRPr="00871B5C">
        <w:rPr>
          <w:rFonts w:cs="Calibri"/>
          <w:i/>
          <w:kern w:val="24"/>
          <w:sz w:val="24"/>
          <w:szCs w:val="24"/>
        </w:rPr>
        <w:t>Przekładoznawczy</w:t>
      </w:r>
      <w:proofErr w:type="spellEnd"/>
      <w:r w:rsidRPr="00871B5C">
        <w:rPr>
          <w:rFonts w:cs="Calibri"/>
          <w:kern w:val="24"/>
          <w:sz w:val="24"/>
          <w:szCs w:val="24"/>
        </w:rPr>
        <w:t xml:space="preserve"> 13/2018</w:t>
      </w:r>
    </w:p>
    <w:p w:rsidR="002F2DAD" w:rsidRPr="00871B5C" w:rsidRDefault="002F2DAD" w:rsidP="00871B5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871B5C">
        <w:rPr>
          <w:rFonts w:cs="Calibri"/>
          <w:kern w:val="24"/>
          <w:sz w:val="24"/>
          <w:szCs w:val="24"/>
        </w:rPr>
        <w:t xml:space="preserve">„Komu opłaca się przekład literacki?” K. Fordoński, w: </w:t>
      </w:r>
      <w:r w:rsidRPr="00871B5C">
        <w:rPr>
          <w:rFonts w:cs="Calibri"/>
          <w:i/>
          <w:kern w:val="24"/>
          <w:sz w:val="24"/>
          <w:szCs w:val="24"/>
        </w:rPr>
        <w:t>Tłumacz i przekład: wyzwania współczesności</w:t>
      </w:r>
      <w:r w:rsidRPr="00871B5C">
        <w:rPr>
          <w:rFonts w:cs="Calibri"/>
          <w:kern w:val="24"/>
          <w:sz w:val="24"/>
          <w:szCs w:val="24"/>
        </w:rPr>
        <w:t xml:space="preserve">, Wydawnictwo Naukowe </w:t>
      </w:r>
      <w:proofErr w:type="spellStart"/>
      <w:r w:rsidRPr="00871B5C">
        <w:rPr>
          <w:rFonts w:cs="Calibri"/>
          <w:kern w:val="24"/>
          <w:sz w:val="24"/>
          <w:szCs w:val="24"/>
        </w:rPr>
        <w:t>Sląsk</w:t>
      </w:r>
      <w:proofErr w:type="spellEnd"/>
      <w:r w:rsidRPr="00871B5C">
        <w:rPr>
          <w:rFonts w:cs="Calibri"/>
          <w:kern w:val="24"/>
          <w:sz w:val="24"/>
          <w:szCs w:val="24"/>
        </w:rPr>
        <w:t xml:space="preserve"> 2013</w:t>
      </w:r>
    </w:p>
    <w:p w:rsidR="002F2DAD" w:rsidRPr="00871B5C" w:rsidRDefault="002F2DAD" w:rsidP="00871B5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871B5C">
        <w:rPr>
          <w:i/>
          <w:sz w:val="24"/>
          <w:szCs w:val="24"/>
        </w:rPr>
        <w:t xml:space="preserve">Poradnik tłumacza, </w:t>
      </w:r>
      <w:r w:rsidRPr="00871B5C">
        <w:rPr>
          <w:sz w:val="24"/>
          <w:szCs w:val="24"/>
        </w:rPr>
        <w:t xml:space="preserve">A. </w:t>
      </w:r>
      <w:proofErr w:type="spellStart"/>
      <w:r w:rsidRPr="00871B5C">
        <w:rPr>
          <w:sz w:val="24"/>
          <w:szCs w:val="24"/>
        </w:rPr>
        <w:t>Belczyk</w:t>
      </w:r>
      <w:proofErr w:type="spellEnd"/>
      <w:r w:rsidRPr="00871B5C">
        <w:rPr>
          <w:sz w:val="24"/>
          <w:szCs w:val="24"/>
        </w:rPr>
        <w:t>, Kraków 2009</w:t>
      </w:r>
    </w:p>
    <w:p w:rsidR="002F2DAD" w:rsidRPr="00871B5C" w:rsidRDefault="002F2DAD" w:rsidP="00871B5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871B5C">
        <w:rPr>
          <w:i/>
          <w:sz w:val="24"/>
          <w:szCs w:val="24"/>
        </w:rPr>
        <w:t xml:space="preserve">Tłumaczenie pisemne na język polski. Kompendium, </w:t>
      </w:r>
      <w:r w:rsidRPr="00871B5C">
        <w:rPr>
          <w:sz w:val="24"/>
          <w:szCs w:val="24"/>
        </w:rPr>
        <w:t>Z. Kozłowska, A. Szczęsny, Warszawa 2018</w:t>
      </w:r>
    </w:p>
    <w:p w:rsidR="002F2DAD" w:rsidRPr="00871B5C" w:rsidRDefault="002F2DAD" w:rsidP="00871B5C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871B5C">
        <w:rPr>
          <w:rFonts w:cs="Calibri"/>
          <w:kern w:val="24"/>
          <w:sz w:val="24"/>
          <w:szCs w:val="24"/>
        </w:rPr>
        <w:t>Materiały własne nauczyciela, w tym źródła internetowe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2F2DAD" w:rsidRPr="00E34138" w:rsidRDefault="002F2DAD" w:rsidP="00BF70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2F2DAD" w:rsidRPr="00E34138" w:rsidRDefault="002F2DAD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W01, W04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W01-W07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W04, 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W04, 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W05, W06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W01, W02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2F2DAD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DAD" w:rsidRPr="00E34138" w:rsidRDefault="002F2DAD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</w:tbl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0D4790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4790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31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0D4790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0D4790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F2DAD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C52F6A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F2DAD" w:rsidRPr="00E34138" w:rsidTr="00BF709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AD" w:rsidRPr="00E34138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DAD" w:rsidRPr="00C52F6A" w:rsidRDefault="002F2DAD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52F6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2DAD" w:rsidRPr="00E34138" w:rsidRDefault="002F2DAD" w:rsidP="002F2D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:rsidR="00E864EE" w:rsidRDefault="00E864EE"/>
    <w:sectPr w:rsidR="00E864EE" w:rsidSect="002F2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79" w:rsidRDefault="009F0679" w:rsidP="009B066D">
      <w:pPr>
        <w:spacing w:after="0" w:line="240" w:lineRule="auto"/>
      </w:pPr>
      <w:r>
        <w:separator/>
      </w:r>
    </w:p>
  </w:endnote>
  <w:endnote w:type="continuationSeparator" w:id="0">
    <w:p w:rsidR="009F0679" w:rsidRDefault="009F0679" w:rsidP="009B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9F06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9B066D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9B066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A6D6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B3AC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9F06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79" w:rsidRDefault="009F0679" w:rsidP="009B066D">
      <w:pPr>
        <w:spacing w:after="0" w:line="240" w:lineRule="auto"/>
      </w:pPr>
      <w:r>
        <w:separator/>
      </w:r>
    </w:p>
  </w:footnote>
  <w:footnote w:type="continuationSeparator" w:id="0">
    <w:p w:rsidR="009F0679" w:rsidRDefault="009F0679" w:rsidP="009B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9F06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9F06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9F06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A12C9"/>
    <w:multiLevelType w:val="hybridMultilevel"/>
    <w:tmpl w:val="D05AB0C6"/>
    <w:lvl w:ilvl="0" w:tplc="BD84E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2DAD"/>
    <w:rsid w:val="00105843"/>
    <w:rsid w:val="002F2DAD"/>
    <w:rsid w:val="00871B5C"/>
    <w:rsid w:val="009B066D"/>
    <w:rsid w:val="009B3ACF"/>
    <w:rsid w:val="009F0679"/>
    <w:rsid w:val="00A42813"/>
    <w:rsid w:val="00AA6D61"/>
    <w:rsid w:val="00E8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AD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F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2DAD"/>
    <w:rPr>
      <w:rFonts w:asciiTheme="minorHAnsi" w:hAnsiTheme="minorHAnsi" w:cstheme="minorBidi"/>
      <w:bCs w:val="0"/>
      <w:sz w:val="22"/>
      <w:szCs w:val="22"/>
    </w:rPr>
  </w:style>
  <w:style w:type="character" w:styleId="Numerstrony">
    <w:name w:val="page number"/>
    <w:rsid w:val="002F2DAD"/>
  </w:style>
  <w:style w:type="paragraph" w:styleId="Akapitzlist">
    <w:name w:val="List Paragraph"/>
    <w:basedOn w:val="Normalny"/>
    <w:uiPriority w:val="34"/>
    <w:qFormat/>
    <w:rsid w:val="0087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2020-05-15T15:04:00Z</dcterms:created>
  <dcterms:modified xsi:type="dcterms:W3CDTF">2020-05-15T15:19:00Z</dcterms:modified>
</cp:coreProperties>
</file>