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  <w:r>
        <w:rPr>
          <w:caps/>
          <w:kern w:val="24"/>
        </w:rPr>
        <w:t>karta przedmioTu</w:t>
      </w:r>
    </w:p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>1. Przedmiot i jego usytuowanie w systemie studiów</w:t>
      </w:r>
    </w:p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201541" w:rsidTr="008E0ACB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C5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Instytut Historii</w:t>
            </w:r>
          </w:p>
        </w:tc>
      </w:tr>
      <w:tr w:rsidR="00201541" w:rsidTr="008E0ACB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Historia</w:t>
            </w:r>
          </w:p>
        </w:tc>
      </w:tr>
      <w:tr w:rsidR="00201541" w:rsidTr="008E0ACB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 xml:space="preserve">Forma prowadzenia </w:t>
            </w:r>
            <w:r>
              <w:rPr>
                <w:i/>
                <w:iCs/>
              </w:rPr>
              <w:t>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stacjonarne</w:t>
            </w:r>
          </w:p>
        </w:tc>
      </w:tr>
      <w:tr w:rsidR="00201541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Profil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praktyczny</w:t>
            </w:r>
          </w:p>
        </w:tc>
      </w:tr>
      <w:tr w:rsidR="00201541" w:rsidTr="008E0ACB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 xml:space="preserve">Poziom kształcenia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studia I stopnia</w:t>
            </w:r>
          </w:p>
        </w:tc>
      </w:tr>
      <w:tr w:rsidR="00201541" w:rsidTr="008E0ACB">
        <w:trPr>
          <w:trHeight w:hRule="exact" w:val="63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Nazwa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097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kern w:val="24"/>
              </w:rPr>
            </w:pPr>
            <w:r>
              <w:rPr>
                <w:b/>
                <w:kern w:val="24"/>
              </w:rPr>
              <w:t xml:space="preserve">Wykład monograficzny </w:t>
            </w:r>
            <w:r w:rsidR="00097C92">
              <w:rPr>
                <w:b/>
                <w:kern w:val="24"/>
              </w:rPr>
              <w:t>I</w:t>
            </w:r>
          </w:p>
          <w:p w:rsidR="00097C92" w:rsidRDefault="00097C92" w:rsidP="00097C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kern w:val="24"/>
              </w:rPr>
            </w:pPr>
            <w:r>
              <w:rPr>
                <w:b/>
                <w:kern w:val="24"/>
              </w:rPr>
              <w:t>Opór społeczny i opozycja w PRL</w:t>
            </w:r>
          </w:p>
        </w:tc>
      </w:tr>
      <w:tr w:rsidR="00201541" w:rsidTr="008E0ACB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Kod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>H-M1-O-11</w:t>
            </w:r>
          </w:p>
        </w:tc>
      </w:tr>
      <w:tr w:rsidR="00201541" w:rsidTr="008E0ACB">
        <w:trPr>
          <w:trHeight w:val="53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Poziom/kategoria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przedmiot: kształcenia </w:t>
            </w:r>
            <w:proofErr w:type="spellStart"/>
            <w:r>
              <w:rPr>
                <w:kern w:val="24"/>
              </w:rPr>
              <w:t>ogólnohumanistycznego</w:t>
            </w:r>
            <w:proofErr w:type="spellEnd"/>
          </w:p>
        </w:tc>
      </w:tr>
      <w:tr w:rsidR="00201541" w:rsidTr="008E0ACB">
        <w:trPr>
          <w:trHeight w:val="55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Status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kern w:val="24"/>
              </w:rPr>
              <w:t>obowiązkowy</w:t>
            </w:r>
          </w:p>
        </w:tc>
      </w:tr>
      <w:tr w:rsidR="00201541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Usytuowanie przedmiotu w planie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kern w:val="24"/>
              </w:rPr>
              <w:t>semestr V</w:t>
            </w:r>
          </w:p>
        </w:tc>
      </w:tr>
      <w:tr w:rsidR="00201541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Język wykładowy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polski</w:t>
            </w:r>
          </w:p>
        </w:tc>
      </w:tr>
      <w:tr w:rsidR="00201541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Liczba punktów ECTS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2</w:t>
            </w:r>
          </w:p>
        </w:tc>
      </w:tr>
      <w:tr w:rsidR="008E0ACB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CB" w:rsidRDefault="008E0ACB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Koordynator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CB" w:rsidRDefault="008E0ACB" w:rsidP="001A3DD4">
            <w:pPr>
              <w:shd w:val="clear" w:color="auto" w:fill="FFFFFF"/>
              <w:snapToGrid w:val="0"/>
              <w:jc w:val="both"/>
              <w:rPr>
                <w:rFonts w:cs="Calibri"/>
                <w:kern w:val="1"/>
              </w:rPr>
            </w:pPr>
            <w:r>
              <w:rPr>
                <w:rFonts w:cs="Calibri"/>
                <w:kern w:val="1"/>
              </w:rPr>
              <w:t xml:space="preserve">Dr Dariusz </w:t>
            </w:r>
            <w:proofErr w:type="spellStart"/>
            <w:r>
              <w:rPr>
                <w:rFonts w:cs="Calibri"/>
                <w:kern w:val="1"/>
              </w:rPr>
              <w:t>Iwaneczko</w:t>
            </w:r>
            <w:proofErr w:type="spellEnd"/>
          </w:p>
        </w:tc>
      </w:tr>
      <w:tr w:rsidR="008E0ACB" w:rsidTr="008E0ACB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CB" w:rsidRDefault="008E0ACB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Odpowiedzialny za realizację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33" w:rsidRDefault="00B32333" w:rsidP="00B32333">
            <w:pPr>
              <w:shd w:val="clear" w:color="auto" w:fill="FFFFFF"/>
              <w:snapToGrid w:val="0"/>
              <w:jc w:val="both"/>
              <w:rPr>
                <w:rFonts w:cs="Calibri"/>
                <w:kern w:val="1"/>
              </w:rPr>
            </w:pPr>
            <w:r>
              <w:rPr>
                <w:rFonts w:cs="Calibri"/>
                <w:kern w:val="1"/>
              </w:rPr>
              <w:t xml:space="preserve">Dr Dariusz </w:t>
            </w:r>
            <w:proofErr w:type="spellStart"/>
            <w:r>
              <w:rPr>
                <w:rFonts w:cs="Calibri"/>
                <w:kern w:val="1"/>
              </w:rPr>
              <w:t>Iwaneczko</w:t>
            </w:r>
            <w:proofErr w:type="spellEnd"/>
          </w:p>
          <w:p w:rsidR="008E0ACB" w:rsidRDefault="00B32333" w:rsidP="00B32333">
            <w:pPr>
              <w:shd w:val="clear" w:color="auto" w:fill="FFFFFF"/>
              <w:snapToGrid w:val="0"/>
              <w:jc w:val="both"/>
              <w:rPr>
                <w:rFonts w:cs="Calibri"/>
                <w:kern w:val="1"/>
              </w:rPr>
            </w:pPr>
            <w:r>
              <w:rPr>
                <w:rFonts w:cs="Calibri"/>
                <w:kern w:val="1"/>
              </w:rPr>
              <w:t>d</w:t>
            </w:r>
            <w:r w:rsidR="008E0ACB">
              <w:rPr>
                <w:rFonts w:cs="Calibri"/>
                <w:kern w:val="1"/>
              </w:rPr>
              <w:t>ariusz.iwaneczko@ipn.gov.pl</w:t>
            </w:r>
          </w:p>
        </w:tc>
      </w:tr>
    </w:tbl>
    <w:p w:rsidR="00201541" w:rsidRDefault="00201541" w:rsidP="00201541"/>
    <w:p w:rsidR="00201541" w:rsidRDefault="00201541" w:rsidP="00201541">
      <w:pPr>
        <w:rPr>
          <w:b/>
          <w:bCs/>
        </w:rPr>
      </w:pPr>
      <w:r>
        <w:rPr>
          <w:b/>
          <w:bCs/>
        </w:rPr>
        <w:t>2. Formy zajęć dydaktycznych i ich wymiar (godziny w siatce studiów; tygodnie praktyk)</w:t>
      </w:r>
    </w:p>
    <w:p w:rsidR="00201541" w:rsidRDefault="00201541" w:rsidP="00201541">
      <w:pPr>
        <w:rPr>
          <w:b/>
          <w:bCs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201541" w:rsidTr="00201541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Ćwiczenia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Konwersatorium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Laboratorium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Projekt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Seminarium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r>
              <w:t>Praktyka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DPZ</w:t>
            </w:r>
          </w:p>
        </w:tc>
      </w:tr>
      <w:tr w:rsidR="00201541" w:rsidTr="00201541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01541" w:rsidRDefault="00201541" w:rsidP="00201541">
      <w:pPr>
        <w:shd w:val="clear" w:color="auto" w:fill="FFFFFF"/>
        <w:jc w:val="both"/>
        <w:rPr>
          <w:i/>
          <w:iCs/>
          <w:kern w:val="24"/>
        </w:rPr>
      </w:pPr>
    </w:p>
    <w:p w:rsidR="00097C92" w:rsidRDefault="00097C92" w:rsidP="00097C92">
      <w:pPr>
        <w:rPr>
          <w:b/>
        </w:rPr>
      </w:pPr>
      <w:r>
        <w:rPr>
          <w:b/>
        </w:rPr>
        <w:t>3. Cele zajęć</w:t>
      </w:r>
    </w:p>
    <w:p w:rsidR="00097C92" w:rsidRDefault="00097C92" w:rsidP="00097C92">
      <w:pPr>
        <w:shd w:val="clear" w:color="auto" w:fill="FFFFFF"/>
        <w:jc w:val="both"/>
      </w:pPr>
      <w:r>
        <w:t>C 1 - student nabywa wiedzę dotyczącą zorganizowanej opozycji i oporu społecznego w warunkach państwa realnego socjalizmu</w:t>
      </w:r>
    </w:p>
    <w:p w:rsidR="00097C92" w:rsidRDefault="00097C92" w:rsidP="00097C92">
      <w:pPr>
        <w:shd w:val="clear" w:color="auto" w:fill="FFFFFF"/>
        <w:jc w:val="both"/>
      </w:pPr>
    </w:p>
    <w:p w:rsidR="00097C92" w:rsidRDefault="00097C92" w:rsidP="00097C92">
      <w:pPr>
        <w:shd w:val="clear" w:color="auto" w:fill="FFFFFF"/>
        <w:jc w:val="both"/>
      </w:pPr>
      <w:r>
        <w:t>C 2 - student potrafi opisać i zrealizować główne etapy kształtowania się opozycji w PRL i formy oraz przejawy oporu społecznego</w:t>
      </w:r>
    </w:p>
    <w:p w:rsidR="00097C92" w:rsidRDefault="00097C92" w:rsidP="00097C92">
      <w:pPr>
        <w:shd w:val="clear" w:color="auto" w:fill="FFFFFF"/>
        <w:jc w:val="both"/>
      </w:pPr>
    </w:p>
    <w:p w:rsidR="00097C92" w:rsidRDefault="00097C92" w:rsidP="00097C92">
      <w:pPr>
        <w:shd w:val="clear" w:color="auto" w:fill="FFFFFF"/>
        <w:jc w:val="both"/>
      </w:pPr>
      <w:r>
        <w:t>C 3 - student zdobywa umiejętności formułowania i analizowania problemów badawczych dotyczących skali i zakresu działania opozycji w Polsce, jej wpływu na skale oporu społecznego i posiada umiejętność opracowania i prezentacji wyników badań</w:t>
      </w:r>
    </w:p>
    <w:p w:rsidR="00201541" w:rsidRPr="0079200F" w:rsidRDefault="00201541" w:rsidP="00201541">
      <w:pPr>
        <w:rPr>
          <w:b/>
          <w:bCs/>
        </w:rPr>
      </w:pPr>
    </w:p>
    <w:p w:rsidR="00097C92" w:rsidRPr="00957C14" w:rsidRDefault="00097C92" w:rsidP="00097C92">
      <w:pPr>
        <w:pageBreakBefore/>
      </w:pPr>
      <w:r>
        <w:rPr>
          <w:b/>
        </w:rPr>
        <w:lastRenderedPageBreak/>
        <w:t xml:space="preserve">4. Wymagania wstępne w zakresie wiedzy, umiejętności i innych kompetencji: </w:t>
      </w:r>
      <w:r w:rsidRPr="00957C14">
        <w:t>ogólna wiedza dotycz</w:t>
      </w:r>
      <w:r>
        <w:t>ą</w:t>
      </w:r>
      <w:r w:rsidRPr="00957C14">
        <w:t>ca najnowszej historii Polski</w:t>
      </w:r>
    </w:p>
    <w:p w:rsidR="00201541" w:rsidRDefault="00201541" w:rsidP="00201541">
      <w:pPr>
        <w:ind w:left="720"/>
        <w:jc w:val="both"/>
      </w:pPr>
    </w:p>
    <w:p w:rsidR="00201541" w:rsidRDefault="00201541" w:rsidP="00201541">
      <w:pPr>
        <w:shd w:val="clear" w:color="auto" w:fill="FFFFFF"/>
        <w:ind w:right="-846"/>
        <w:rPr>
          <w:b/>
          <w:bCs/>
          <w:kern w:val="24"/>
        </w:rPr>
      </w:pPr>
      <w:r>
        <w:rPr>
          <w:b/>
          <w:bCs/>
          <w:kern w:val="24"/>
        </w:rPr>
        <w:t>5. Efekty kształcenia</w:t>
      </w:r>
      <w:r>
        <w:rPr>
          <w:i/>
          <w:iCs/>
          <w:kern w:val="24"/>
        </w:rPr>
        <w:t xml:space="preserve">, </w:t>
      </w:r>
      <w:r>
        <w:rPr>
          <w:b/>
          <w:bCs/>
          <w:kern w:val="24"/>
        </w:rPr>
        <w:t xml:space="preserve">wraz z odniesieniem do efektów kształcenia dla kierunku </w:t>
      </w:r>
    </w:p>
    <w:p w:rsidR="00201541" w:rsidRDefault="00201541" w:rsidP="00201541">
      <w:pPr>
        <w:shd w:val="clear" w:color="auto" w:fill="FFFFFF"/>
        <w:jc w:val="both"/>
        <w:rPr>
          <w:i/>
          <w:iCs/>
          <w:kern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201541" w:rsidTr="00201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Odniesienie do kierunkowych efektów kształcenia</w:t>
            </w:r>
          </w:p>
        </w:tc>
      </w:tr>
      <w:tr w:rsidR="00201541" w:rsidTr="002015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8E0A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>zna specjalistyczną terminologię historyczną w zakresie</w:t>
            </w:r>
            <w:r w:rsidRPr="000C3C2D">
              <w:rPr>
                <w:lang w:eastAsia="en-US"/>
              </w:rPr>
              <w:t xml:space="preserve"> powojenn</w:t>
            </w:r>
            <w:r>
              <w:rPr>
                <w:lang w:eastAsia="en-US"/>
              </w:rPr>
              <w:t>ej historii</w:t>
            </w:r>
            <w:r w:rsidRPr="000C3C2D">
              <w:rPr>
                <w:lang w:eastAsia="en-US"/>
              </w:rPr>
              <w:t xml:space="preserve"> Polski, w szczególności</w:t>
            </w:r>
            <w:r w:rsidR="008E0ACB" w:rsidRPr="009C1361">
              <w:rPr>
                <w:rFonts w:cs="Calibri"/>
                <w:kern w:val="1"/>
              </w:rPr>
              <w:t xml:space="preserve"> dotyczącą struktur i sposobów funkcjonowania</w:t>
            </w:r>
            <w:r w:rsidR="008E0ACB">
              <w:rPr>
                <w:rFonts w:cs="Calibri"/>
                <w:kern w:val="1"/>
              </w:rPr>
              <w:t xml:space="preserve"> opozycji antysystemowej w PRL</w:t>
            </w:r>
            <w:r>
              <w:t xml:space="preserve">, zorientowaną na zastosowanie praktyczne w turystyce lub nauczycielstwie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K_W07</w:t>
            </w:r>
          </w:p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</w:tr>
      <w:tr w:rsidR="00201541" w:rsidTr="002015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 xml:space="preserve">potrafi samodzielnie zdobywać wiedzę z różnych źródeł oraz kształtować własny warsztat badawczy i zawodowy, związany z działalnością turystyczną lub oświatową,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>K_U02</w:t>
            </w:r>
          </w:p>
        </w:tc>
      </w:tr>
      <w:tr w:rsidR="00201541" w:rsidTr="002015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>ma szacunek dla pracy naukowej innych osób, respektuje prawa autorskie i przestrzega dobrych obyczajów w nauce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>K_K04</w:t>
            </w:r>
          </w:p>
        </w:tc>
      </w:tr>
    </w:tbl>
    <w:p w:rsidR="00201541" w:rsidRDefault="00201541" w:rsidP="00201541">
      <w:pPr>
        <w:shd w:val="clear" w:color="auto" w:fill="FFFFFF"/>
        <w:jc w:val="both"/>
        <w:rPr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kern w:val="24"/>
        </w:rPr>
      </w:pPr>
      <w:r>
        <w:rPr>
          <w:b/>
          <w:bCs/>
          <w:kern w:val="24"/>
        </w:rPr>
        <w:t>6.Treści kształcenia – oddzielnie dla każdej formy zajęć dydaktycznych</w:t>
      </w:r>
    </w:p>
    <w:p w:rsidR="00201541" w:rsidRDefault="00201541" w:rsidP="00201541">
      <w:pPr>
        <w:jc w:val="center"/>
      </w:pPr>
      <w:r>
        <w:t>(W – wykład; C- ćwiczenia)</w:t>
      </w:r>
    </w:p>
    <w:p w:rsidR="008E0ACB" w:rsidRDefault="008E0ACB" w:rsidP="008E0ACB">
      <w:pPr>
        <w:jc w:val="center"/>
      </w:pPr>
    </w:p>
    <w:p w:rsidR="008E0ACB" w:rsidRDefault="008E0ACB" w:rsidP="008E0ACB">
      <w:pPr>
        <w:jc w:val="center"/>
      </w:pPr>
      <w: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8E0ACB" w:rsidTr="008E0A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Liczba godzin</w:t>
            </w:r>
          </w:p>
        </w:tc>
      </w:tr>
      <w:tr w:rsidR="008E0ACB" w:rsidTr="008E0A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hd w:val="clear" w:color="auto" w:fill="FFFFFF"/>
              <w:snapToGrid w:val="0"/>
              <w:rPr>
                <w:rFonts w:cs="Calibri"/>
              </w:rPr>
            </w:pPr>
            <w:r>
              <w:rPr>
                <w:rFonts w:cs="Calibri"/>
              </w:rPr>
              <w:t>Wydarzenia poznańskie w czerwcu 1956 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napToGri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E0ACB" w:rsidTr="008E0A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hd w:val="clear" w:color="auto" w:fill="FFFFFF"/>
              <w:snapToGrid w:val="0"/>
              <w:rPr>
                <w:rFonts w:cs="Calibri"/>
              </w:rPr>
            </w:pPr>
            <w:r>
              <w:rPr>
                <w:rFonts w:cs="Calibri"/>
              </w:rPr>
              <w:t>Odwilż październikowa 1956 r. i sytuacja po dojściu do władzy Władysława Gomułki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napToGri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E0ACB" w:rsidTr="008E0A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hd w:val="clear" w:color="auto" w:fill="FFFFFF"/>
              <w:snapToGrid w:val="0"/>
              <w:rPr>
                <w:rFonts w:cs="Calibri"/>
              </w:rPr>
            </w:pPr>
            <w:r>
              <w:rPr>
                <w:rFonts w:cs="Calibri"/>
              </w:rPr>
              <w:t>Przejawy emancypacji społecznej w latach 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napToGri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E0ACB" w:rsidTr="008E0A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hd w:val="clear" w:color="auto" w:fill="FFFFFF"/>
              <w:snapToGrid w:val="0"/>
              <w:rPr>
                <w:rFonts w:cs="Calibri"/>
              </w:rPr>
            </w:pPr>
            <w:r>
              <w:rPr>
                <w:rFonts w:cs="Calibri"/>
              </w:rPr>
              <w:t>Środowiska opozycyjne w latach 60. – Ruch, Taternicy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napToGri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E0ACB" w:rsidTr="008E0A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hd w:val="clear" w:color="auto" w:fill="FFFFFF"/>
              <w:snapToGrid w:val="0"/>
              <w:rPr>
                <w:rFonts w:cs="Calibri"/>
              </w:rPr>
            </w:pPr>
            <w:r>
              <w:rPr>
                <w:rFonts w:cs="Calibri"/>
              </w:rPr>
              <w:t>Środowiska kontestacyjne wywodzące się z PZPR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napToGri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E0ACB" w:rsidTr="008E0A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hd w:val="clear" w:color="auto" w:fill="FFFFFF"/>
              <w:snapToGrid w:val="0"/>
              <w:rPr>
                <w:rFonts w:cs="Calibri"/>
              </w:rPr>
            </w:pPr>
            <w:r>
              <w:rPr>
                <w:rFonts w:cs="Calibri"/>
              </w:rPr>
              <w:t>Przejawy oporu społecznego w latach 60.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napToGri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E0ACB" w:rsidTr="008E0A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hd w:val="clear" w:color="auto" w:fill="FFFFFF"/>
              <w:snapToGrid w:val="0"/>
              <w:rPr>
                <w:rFonts w:cs="Calibri"/>
              </w:rPr>
            </w:pPr>
            <w:r>
              <w:rPr>
                <w:rFonts w:cs="Calibri"/>
              </w:rPr>
              <w:t>Marzec 1968 i jego konsekwencje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napToGri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E0ACB" w:rsidTr="008E0A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hd w:val="clear" w:color="auto" w:fill="FFFFFF"/>
              <w:snapToGrid w:val="0"/>
              <w:rPr>
                <w:rFonts w:cs="Calibri"/>
              </w:rPr>
            </w:pPr>
            <w:r>
              <w:rPr>
                <w:rFonts w:cs="Calibri"/>
              </w:rPr>
              <w:t>Grudzień 1970 i jego konsekwencje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napToGri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E0ACB" w:rsidTr="008E0A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hd w:val="clear" w:color="auto" w:fill="FFFFFF"/>
              <w:snapToGrid w:val="0"/>
              <w:rPr>
                <w:rFonts w:cs="Calibri"/>
              </w:rPr>
            </w:pPr>
            <w:r>
              <w:rPr>
                <w:rFonts w:cs="Calibri"/>
              </w:rPr>
              <w:t>Kryzys społeczny 1976 r. i jego wpływ na powstanie zorganizowanej opozycji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napToGri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E0ACB" w:rsidTr="008E0A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hd w:val="clear" w:color="auto" w:fill="FFFFFF"/>
              <w:snapToGrid w:val="0"/>
              <w:rPr>
                <w:rFonts w:cs="Calibri"/>
              </w:rPr>
            </w:pPr>
            <w:r>
              <w:rPr>
                <w:rFonts w:cs="Calibri"/>
              </w:rPr>
              <w:t>Komitet Obrony Robotników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napToGri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E0ACB" w:rsidTr="008E0A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hd w:val="clear" w:color="auto" w:fill="FFFFFF"/>
              <w:snapToGrid w:val="0"/>
              <w:rPr>
                <w:rFonts w:cs="Calibri"/>
              </w:rPr>
            </w:pPr>
            <w:r>
              <w:rPr>
                <w:rFonts w:cs="Calibri"/>
              </w:rPr>
              <w:t>Ruch Obrony Praw Człowieka i Obywatela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napToGri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E0ACB" w:rsidTr="008E0A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hd w:val="clear" w:color="auto" w:fill="FFFFFF"/>
              <w:snapToGrid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Antysytemowe</w:t>
            </w:r>
            <w:proofErr w:type="spellEnd"/>
            <w:r>
              <w:rPr>
                <w:rFonts w:cs="Calibri"/>
              </w:rPr>
              <w:t xml:space="preserve"> organizacje młodzieżowe w PRL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napToGri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E0ACB" w:rsidTr="008E0A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hd w:val="clear" w:color="auto" w:fill="FFFFFF"/>
              <w:snapToGrid w:val="0"/>
              <w:rPr>
                <w:rFonts w:cs="Calibri"/>
              </w:rPr>
            </w:pPr>
            <w:r>
              <w:rPr>
                <w:rFonts w:cs="Calibri"/>
              </w:rPr>
              <w:t>Środowiskowe i indywidualne przejawy oporu społecznego w PRL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napToGri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E0ACB" w:rsidTr="008E0A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hd w:val="clear" w:color="auto" w:fill="FFFFFF"/>
              <w:snapToGrid w:val="0"/>
              <w:rPr>
                <w:rFonts w:cs="Calibri"/>
              </w:rPr>
            </w:pPr>
            <w:r>
              <w:rPr>
                <w:rFonts w:cs="Calibri"/>
              </w:rPr>
              <w:t>Rola i znaczenie Kościoła oraz przejawy sprzeciwu wobec działań obozu władzy komunistycznej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napToGri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E0ACB" w:rsidTr="008E0A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hd w:val="clear" w:color="auto" w:fill="FFFFFF"/>
              <w:snapToGrid w:val="0"/>
              <w:rPr>
                <w:rFonts w:cs="Calibri"/>
              </w:rPr>
            </w:pPr>
            <w:r>
              <w:rPr>
                <w:rFonts w:cs="Calibri"/>
              </w:rPr>
              <w:t>Powstanie „Solidarności”. Przejawy oporu społecznego. Stan wojenny i podziemne struktury w latach 80.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napToGri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E0ACB" w:rsidTr="008E0AC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ACB" w:rsidRDefault="008E0ACB" w:rsidP="001A3DD4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hd w:val="clear" w:color="auto" w:fill="FFFFFF"/>
              <w:snapToGrid w:val="0"/>
              <w:rPr>
                <w:rFonts w:cs="Calibri"/>
              </w:rPr>
            </w:pPr>
            <w: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ACB" w:rsidRDefault="008E0ACB" w:rsidP="001A3DD4">
            <w:pPr>
              <w:snapToGri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</w:tbl>
    <w:p w:rsidR="00655C1C" w:rsidRDefault="00655C1C" w:rsidP="00201541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</w:p>
    <w:p w:rsidR="00655C1C" w:rsidRDefault="00655C1C" w:rsidP="00201541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</w:p>
    <w:p w:rsidR="00B32333" w:rsidRDefault="00B32333" w:rsidP="00201541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</w:p>
    <w:p w:rsidR="00B32333" w:rsidRDefault="00B32333" w:rsidP="00201541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</w:p>
    <w:p w:rsidR="00B32333" w:rsidRDefault="00B32333" w:rsidP="00201541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</w:p>
    <w:p w:rsidR="00201541" w:rsidRDefault="00201541" w:rsidP="00201541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  <w:r>
        <w:rPr>
          <w:b/>
          <w:bCs/>
          <w:kern w:val="24"/>
        </w:rPr>
        <w:lastRenderedPageBreak/>
        <w:t>7. Metody weryfikacji efektów kształcenia w odniesieniu do poszczególnych efektów</w:t>
      </w:r>
    </w:p>
    <w:p w:rsidR="00201541" w:rsidRDefault="00201541" w:rsidP="00201541">
      <w:pPr>
        <w:shd w:val="clear" w:color="auto" w:fill="FFFFFF"/>
        <w:jc w:val="both"/>
        <w:rPr>
          <w:kern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1056"/>
        <w:gridCol w:w="1056"/>
        <w:gridCol w:w="1310"/>
        <w:gridCol w:w="914"/>
        <w:gridCol w:w="1350"/>
        <w:gridCol w:w="1577"/>
        <w:gridCol w:w="1279"/>
      </w:tblGrid>
      <w:tr w:rsidR="00201541" w:rsidTr="00201541">
        <w:trPr>
          <w:trHeight w:val="397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Efekt kształcenia</w:t>
            </w: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Forma weryfikacji</w:t>
            </w:r>
          </w:p>
        </w:tc>
      </w:tr>
      <w:tr w:rsidR="00201541" w:rsidTr="0020154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rPr>
                <w:i/>
                <w:iCs/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Egzamin ustny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Egzamin pisemny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Kolokwium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Projekt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Zaliczenie ustne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Sprawozdanie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Inne</w:t>
            </w:r>
          </w:p>
        </w:tc>
      </w:tr>
      <w:tr w:rsidR="00201541" w:rsidTr="00201541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W_01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201541" w:rsidTr="00201541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U_01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201541" w:rsidTr="00201541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K_01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</w:tr>
    </w:tbl>
    <w:p w:rsidR="00AD444D" w:rsidRDefault="00AD444D" w:rsidP="00201541">
      <w:pPr>
        <w:shd w:val="clear" w:color="auto" w:fill="FFFFFF"/>
        <w:ind w:left="66" w:firstLine="654"/>
        <w:jc w:val="both"/>
        <w:rPr>
          <w:b/>
          <w:bCs/>
          <w:kern w:val="24"/>
        </w:rPr>
      </w:pPr>
    </w:p>
    <w:p w:rsidR="00201541" w:rsidRDefault="00201541" w:rsidP="00201541">
      <w:pPr>
        <w:shd w:val="clear" w:color="auto" w:fill="FFFFFF"/>
        <w:ind w:left="66" w:firstLine="654"/>
        <w:jc w:val="both"/>
        <w:rPr>
          <w:b/>
          <w:bCs/>
          <w:kern w:val="24"/>
        </w:rPr>
      </w:pPr>
      <w:r>
        <w:rPr>
          <w:b/>
          <w:bCs/>
          <w:kern w:val="24"/>
        </w:rPr>
        <w:t>8. Ocena osiągniętych efektów kształcenia</w:t>
      </w: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>8.1. Sposoby oceny</w:t>
      </w: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p w:rsidR="00201541" w:rsidRDefault="00201541" w:rsidP="00201541">
      <w:pPr>
        <w:ind w:left="1440" w:firstLine="720"/>
        <w:rPr>
          <w:b/>
          <w:bCs/>
        </w:rPr>
      </w:pPr>
      <w:r>
        <w:rPr>
          <w:b/>
          <w:bCs/>
        </w:rPr>
        <w:t>Ocena formująca</w:t>
      </w:r>
    </w:p>
    <w:p w:rsidR="00201541" w:rsidRDefault="00201541" w:rsidP="00201541">
      <w:pPr>
        <w:ind w:left="1440" w:firstLine="72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201541" w:rsidTr="0020154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</w:pPr>
            <w:r>
              <w:t>Zaliczenie ustne</w:t>
            </w:r>
          </w:p>
        </w:tc>
      </w:tr>
    </w:tbl>
    <w:p w:rsidR="00201541" w:rsidRDefault="00201541" w:rsidP="00201541">
      <w:pPr>
        <w:rPr>
          <w:b/>
          <w:bCs/>
        </w:rPr>
      </w:pPr>
    </w:p>
    <w:p w:rsidR="00201541" w:rsidRDefault="00201541" w:rsidP="00201541">
      <w:pPr>
        <w:ind w:left="1440" w:firstLine="720"/>
        <w:rPr>
          <w:b/>
          <w:bCs/>
        </w:rPr>
      </w:pPr>
      <w:r>
        <w:rPr>
          <w:b/>
          <w:bCs/>
        </w:rPr>
        <w:t>Ocena podsumowująca</w:t>
      </w:r>
    </w:p>
    <w:p w:rsidR="00201541" w:rsidRDefault="00201541" w:rsidP="00201541">
      <w:pPr>
        <w:ind w:left="1440" w:firstLine="72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201541" w:rsidTr="0020154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r>
              <w:t>Zaliczenie wykładu na podstawie zaliczenia ustnego F1</w:t>
            </w:r>
          </w:p>
        </w:tc>
      </w:tr>
    </w:tbl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8.2. Kryteria uzyskania zaliczenia oceny </w:t>
      </w: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tbl>
      <w:tblPr>
        <w:tblW w:w="88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7087"/>
      </w:tblGrid>
      <w:tr w:rsidR="00201541" w:rsidTr="00201541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Efekt kształcenia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Na uzyskanie zaliczenia</w:t>
            </w:r>
          </w:p>
        </w:tc>
      </w:tr>
      <w:tr w:rsidR="00201541" w:rsidTr="00201541">
        <w:trPr>
          <w:trHeight w:val="39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shd w:val="clear" w:color="auto" w:fill="FFFFFF"/>
              <w:ind w:right="-108"/>
              <w:jc w:val="both"/>
              <w:rPr>
                <w:kern w:val="24"/>
              </w:rPr>
            </w:pPr>
            <w:r>
              <w:rPr>
                <w:kern w:val="24"/>
              </w:rPr>
              <w:t>W_01</w:t>
            </w:r>
          </w:p>
          <w:p w:rsidR="00201541" w:rsidRDefault="00201541">
            <w:pPr>
              <w:shd w:val="clear" w:color="auto" w:fill="FFFFFF"/>
              <w:ind w:right="-108"/>
              <w:jc w:val="both"/>
              <w:rPr>
                <w:kern w:val="24"/>
              </w:rPr>
            </w:pPr>
          </w:p>
          <w:p w:rsidR="00661361" w:rsidRDefault="00661361">
            <w:pPr>
              <w:shd w:val="clear" w:color="auto" w:fill="FFFFFF"/>
              <w:ind w:right="-108"/>
              <w:jc w:val="both"/>
              <w:rPr>
                <w:kern w:val="24"/>
              </w:rPr>
            </w:pPr>
          </w:p>
          <w:p w:rsidR="00201541" w:rsidRDefault="00201541">
            <w:pPr>
              <w:shd w:val="clear" w:color="auto" w:fill="FFFFFF"/>
              <w:ind w:right="-108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U_01 </w:t>
            </w:r>
          </w:p>
          <w:p w:rsidR="00201541" w:rsidRDefault="00201541">
            <w:pPr>
              <w:shd w:val="clear" w:color="auto" w:fill="FFFFFF"/>
              <w:ind w:right="-108"/>
              <w:jc w:val="both"/>
              <w:rPr>
                <w:kern w:val="24"/>
              </w:rPr>
            </w:pPr>
          </w:p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kern w:val="24"/>
              </w:rPr>
            </w:pPr>
          </w:p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kern w:val="24"/>
              </w:rPr>
            </w:pPr>
            <w:r>
              <w:rPr>
                <w:kern w:val="24"/>
              </w:rPr>
              <w:t>K_01</w:t>
            </w:r>
          </w:p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kern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Student zna specjalistyczną terminologię historyczną w zakresie</w:t>
            </w:r>
            <w:r w:rsidR="00661361" w:rsidRPr="000C3C2D">
              <w:rPr>
                <w:lang w:eastAsia="en-US"/>
              </w:rPr>
              <w:t xml:space="preserve"> powojenn</w:t>
            </w:r>
            <w:r w:rsidR="00661361">
              <w:rPr>
                <w:lang w:eastAsia="en-US"/>
              </w:rPr>
              <w:t>ej historii</w:t>
            </w:r>
            <w:r w:rsidR="00661361" w:rsidRPr="000C3C2D">
              <w:rPr>
                <w:lang w:eastAsia="en-US"/>
              </w:rPr>
              <w:t xml:space="preserve"> Polski, w szczególności </w:t>
            </w:r>
            <w:r w:rsidR="008E0ACB" w:rsidRPr="000C3C2D">
              <w:rPr>
                <w:lang w:eastAsia="en-US"/>
              </w:rPr>
              <w:t>w szczególności</w:t>
            </w:r>
            <w:r w:rsidR="008E0ACB" w:rsidRPr="009C1361">
              <w:rPr>
                <w:rFonts w:cs="Calibri"/>
                <w:kern w:val="1"/>
              </w:rPr>
              <w:t xml:space="preserve"> dotyczącą struktur i sposobów funkcjonowania</w:t>
            </w:r>
            <w:r w:rsidR="008E0ACB">
              <w:rPr>
                <w:rFonts w:cs="Calibri"/>
                <w:kern w:val="1"/>
              </w:rPr>
              <w:t xml:space="preserve"> opozycji antysystemowej w PRL.</w:t>
            </w:r>
          </w:p>
          <w:p w:rsidR="008E0ACB" w:rsidRDefault="008E0A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01541" w:rsidRDefault="00201541">
            <w:pPr>
              <w:jc w:val="both"/>
              <w:rPr>
                <w:kern w:val="24"/>
              </w:rPr>
            </w:pPr>
            <w:r>
              <w:t>Student potrafi samodzielnie zdobywać wiedzę z różnych źródeł, posiada umiejętność analizy</w:t>
            </w:r>
            <w:r w:rsidR="00661361" w:rsidRPr="003715C7">
              <w:rPr>
                <w:lang w:eastAsia="en-US"/>
              </w:rPr>
              <w:t xml:space="preserve"> </w:t>
            </w:r>
            <w:r w:rsidR="00661361">
              <w:rPr>
                <w:lang w:eastAsia="en-US"/>
              </w:rPr>
              <w:t>faktów</w:t>
            </w:r>
            <w:r w:rsidR="00661361" w:rsidRPr="003715C7">
              <w:rPr>
                <w:lang w:eastAsia="en-US"/>
              </w:rPr>
              <w:t xml:space="preserve"> historyczn</w:t>
            </w:r>
            <w:r w:rsidR="00661361">
              <w:rPr>
                <w:lang w:eastAsia="en-US"/>
              </w:rPr>
              <w:t>ych</w:t>
            </w:r>
            <w:r w:rsidR="00661361" w:rsidRPr="003715C7">
              <w:rPr>
                <w:lang w:eastAsia="en-US"/>
              </w:rPr>
              <w:t xml:space="preserve"> z dziejów najnowszych i połączyć je w ciąg przyczynowo-skutkowy</w:t>
            </w:r>
            <w:r>
              <w:rPr>
                <w:kern w:val="24"/>
              </w:rPr>
              <w:t>.</w:t>
            </w:r>
          </w:p>
          <w:p w:rsidR="008E0ACB" w:rsidRDefault="008E0ACB">
            <w:pPr>
              <w:jc w:val="both"/>
            </w:pPr>
          </w:p>
          <w:p w:rsidR="00201541" w:rsidRDefault="00201541">
            <w:pPr>
              <w:jc w:val="both"/>
            </w:pPr>
            <w:r>
              <w:rPr>
                <w:kern w:val="24"/>
              </w:rPr>
              <w:t xml:space="preserve">Ma szacunek dla </w:t>
            </w:r>
            <w:r>
              <w:t>pracy naukowej innych osób, respektuje prawa autorskie i przestrzega dobrych obyczajów w nauce</w:t>
            </w:r>
            <w:r>
              <w:rPr>
                <w:kern w:val="24"/>
              </w:rPr>
              <w:t>.</w:t>
            </w:r>
          </w:p>
        </w:tc>
      </w:tr>
    </w:tbl>
    <w:p w:rsidR="00201541" w:rsidRDefault="00201541" w:rsidP="00201541">
      <w:pPr>
        <w:shd w:val="clear" w:color="auto" w:fill="FFFFFF"/>
        <w:jc w:val="both"/>
        <w:rPr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>9. Litera</w:t>
      </w:r>
      <w:r w:rsidR="008E0ACB">
        <w:rPr>
          <w:b/>
          <w:bCs/>
          <w:kern w:val="24"/>
        </w:rPr>
        <w:t>tura podstawowa i uzupełniająca</w:t>
      </w: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p w:rsidR="008E0ACB" w:rsidRPr="00740999" w:rsidRDefault="008E0ACB" w:rsidP="008E0ACB">
      <w:pPr>
        <w:shd w:val="clear" w:color="auto" w:fill="FFFFFF"/>
        <w:jc w:val="both"/>
        <w:rPr>
          <w:rFonts w:cs="Calibri"/>
          <w:kern w:val="1"/>
        </w:rPr>
      </w:pPr>
      <w:r w:rsidRPr="00740999">
        <w:rPr>
          <w:rFonts w:cs="Calibri"/>
          <w:kern w:val="1"/>
        </w:rPr>
        <w:t>A. Sowa, Historia polityczna Polski 1944-1991, Kraków 2011</w:t>
      </w:r>
    </w:p>
    <w:p w:rsidR="008E0ACB" w:rsidRPr="00740999" w:rsidRDefault="008E0ACB" w:rsidP="008E0ACB">
      <w:pPr>
        <w:shd w:val="clear" w:color="auto" w:fill="FFFFFF"/>
        <w:jc w:val="both"/>
        <w:rPr>
          <w:rFonts w:cs="Calibri"/>
          <w:kern w:val="1"/>
        </w:rPr>
      </w:pPr>
      <w:r w:rsidRPr="00740999">
        <w:rPr>
          <w:rFonts w:cs="Calibri"/>
          <w:kern w:val="1"/>
        </w:rPr>
        <w:t xml:space="preserve">P </w:t>
      </w:r>
      <w:proofErr w:type="spellStart"/>
      <w:r w:rsidRPr="00740999">
        <w:rPr>
          <w:rFonts w:cs="Calibri"/>
          <w:kern w:val="1"/>
        </w:rPr>
        <w:t>Machcewicz</w:t>
      </w:r>
      <w:proofErr w:type="spellEnd"/>
      <w:r w:rsidRPr="00740999">
        <w:rPr>
          <w:rFonts w:cs="Calibri"/>
          <w:kern w:val="1"/>
        </w:rPr>
        <w:t xml:space="preserve">, Polski rok 1956, Warszawa 1993; </w:t>
      </w:r>
    </w:p>
    <w:p w:rsidR="008E0ACB" w:rsidRPr="00740999" w:rsidRDefault="008E0ACB" w:rsidP="008E0ACB">
      <w:pPr>
        <w:shd w:val="clear" w:color="auto" w:fill="FFFFFF"/>
        <w:jc w:val="both"/>
        <w:rPr>
          <w:rFonts w:cs="Calibri"/>
          <w:kern w:val="1"/>
        </w:rPr>
      </w:pPr>
      <w:r w:rsidRPr="00740999">
        <w:rPr>
          <w:rFonts w:cs="Calibri"/>
          <w:kern w:val="1"/>
        </w:rPr>
        <w:t xml:space="preserve">J. Eisler, Marzec 1968, Warszawa 1991; </w:t>
      </w:r>
    </w:p>
    <w:p w:rsidR="008E0ACB" w:rsidRPr="00740999" w:rsidRDefault="008E0ACB" w:rsidP="008E0ACB">
      <w:pPr>
        <w:shd w:val="clear" w:color="auto" w:fill="FFFFFF"/>
        <w:jc w:val="both"/>
        <w:rPr>
          <w:rFonts w:cs="Calibri"/>
          <w:kern w:val="1"/>
        </w:rPr>
      </w:pPr>
      <w:r w:rsidRPr="00740999">
        <w:rPr>
          <w:rFonts w:cs="Calibri"/>
          <w:kern w:val="1"/>
        </w:rPr>
        <w:t>J. Eisler, Grudzień 1970, Warszawa 2000.</w:t>
      </w:r>
    </w:p>
    <w:p w:rsidR="008E0ACB" w:rsidRPr="00740999" w:rsidRDefault="008E0ACB" w:rsidP="008E0ACB">
      <w:pPr>
        <w:shd w:val="clear" w:color="auto" w:fill="FFFFFF"/>
        <w:jc w:val="both"/>
        <w:rPr>
          <w:rFonts w:cs="Calibri"/>
          <w:kern w:val="1"/>
        </w:rPr>
      </w:pPr>
      <w:r w:rsidRPr="00740999">
        <w:rPr>
          <w:rFonts w:cs="Calibri"/>
          <w:kern w:val="1"/>
        </w:rPr>
        <w:t>A. Dudek, R. Gryz, Komuniści i Kościół w Polsce 194 5 -1 9 8 9 , Kraków 2003</w:t>
      </w:r>
    </w:p>
    <w:p w:rsidR="008E0ACB" w:rsidRPr="00740999" w:rsidRDefault="008E0ACB" w:rsidP="008E0ACB">
      <w:pPr>
        <w:shd w:val="clear" w:color="auto" w:fill="FFFFFF"/>
        <w:jc w:val="both"/>
        <w:rPr>
          <w:rFonts w:cs="Calibri"/>
          <w:kern w:val="1"/>
        </w:rPr>
      </w:pPr>
      <w:r w:rsidRPr="00740999">
        <w:rPr>
          <w:rFonts w:cs="Calibri"/>
          <w:kern w:val="1"/>
        </w:rPr>
        <w:t xml:space="preserve">A. </w:t>
      </w:r>
      <w:proofErr w:type="spellStart"/>
      <w:r w:rsidRPr="00740999">
        <w:rPr>
          <w:rFonts w:cs="Calibri"/>
          <w:kern w:val="1"/>
        </w:rPr>
        <w:t>Friszke</w:t>
      </w:r>
      <w:proofErr w:type="spellEnd"/>
      <w:r w:rsidRPr="00740999">
        <w:rPr>
          <w:rFonts w:cs="Calibri"/>
          <w:kern w:val="1"/>
        </w:rPr>
        <w:t>, Opozycja polityczna w PRL 1 9 45-1980, Londyn 1994</w:t>
      </w:r>
    </w:p>
    <w:p w:rsidR="008E0ACB" w:rsidRPr="00740999" w:rsidRDefault="008E0ACB" w:rsidP="008E0ACB">
      <w:pPr>
        <w:shd w:val="clear" w:color="auto" w:fill="FFFFFF"/>
        <w:jc w:val="both"/>
        <w:rPr>
          <w:rFonts w:cs="Calibri"/>
          <w:kern w:val="1"/>
        </w:rPr>
      </w:pPr>
      <w:r w:rsidRPr="00740999">
        <w:rPr>
          <w:rFonts w:cs="Calibri"/>
          <w:kern w:val="1"/>
        </w:rPr>
        <w:t>Paweł Sasanka, Czerwiec 1976. Geneza, przebieg, konsekwencje</w:t>
      </w:r>
      <w:r>
        <w:rPr>
          <w:rFonts w:cs="Calibri"/>
          <w:kern w:val="1"/>
        </w:rPr>
        <w:t>, Warszawa 2006</w:t>
      </w:r>
      <w:r w:rsidRPr="00740999">
        <w:rPr>
          <w:rFonts w:cs="Calibri"/>
          <w:kern w:val="1"/>
        </w:rPr>
        <w:t>.</w:t>
      </w:r>
    </w:p>
    <w:p w:rsidR="008E0ACB" w:rsidRPr="00740999" w:rsidRDefault="008E0ACB" w:rsidP="008E0ACB">
      <w:pPr>
        <w:shd w:val="clear" w:color="auto" w:fill="FFFFFF"/>
        <w:jc w:val="both"/>
        <w:rPr>
          <w:rFonts w:cs="Calibri"/>
          <w:kern w:val="1"/>
        </w:rPr>
      </w:pPr>
      <w:r w:rsidRPr="00740999">
        <w:rPr>
          <w:rFonts w:cs="Calibri"/>
          <w:kern w:val="1"/>
        </w:rPr>
        <w:t xml:space="preserve">D. </w:t>
      </w:r>
      <w:proofErr w:type="spellStart"/>
      <w:r w:rsidRPr="00740999">
        <w:rPr>
          <w:rFonts w:cs="Calibri"/>
          <w:kern w:val="1"/>
        </w:rPr>
        <w:t>Iwaneczko</w:t>
      </w:r>
      <w:proofErr w:type="spellEnd"/>
      <w:r w:rsidRPr="00740999">
        <w:rPr>
          <w:rFonts w:cs="Calibri"/>
          <w:kern w:val="1"/>
        </w:rPr>
        <w:t>, Władza a opór społeczny w Polsce południowo-wschodniej 1980-1989, Warszawa 2005</w:t>
      </w:r>
    </w:p>
    <w:p w:rsidR="00661361" w:rsidRDefault="00661361" w:rsidP="00661361">
      <w:pPr>
        <w:shd w:val="clear" w:color="auto" w:fill="FFFFFF"/>
        <w:jc w:val="both"/>
      </w:pP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lastRenderedPageBreak/>
        <w:t xml:space="preserve">10. Nakład pracy studenta - bilans punktów ECTS </w:t>
      </w: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tbl>
      <w:tblPr>
        <w:tblW w:w="0" w:type="auto"/>
        <w:jc w:val="center"/>
        <w:tblLook w:val="00A0"/>
      </w:tblPr>
      <w:tblGrid>
        <w:gridCol w:w="6444"/>
        <w:gridCol w:w="2798"/>
      </w:tblGrid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Aktywność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Obciążenie studenta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Udział w wykładach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30 h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Samodzielne studiowanie tematyki wykładów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19½ h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Udział w konsultacjach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½ h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Przygotowanie do ustnego zaliczenia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10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 xml:space="preserve">Sumaryczne obciążenie pracą studenta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60 h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Punkty ECTS za przedmiot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 ECTS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Obciążenie studenta związane z zajęciami praktycznymi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29 ½ h</w:t>
            </w:r>
          </w:p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 ECTS</w:t>
            </w:r>
          </w:p>
        </w:tc>
      </w:tr>
      <w:tr w:rsidR="00201541" w:rsidTr="00201541">
        <w:trPr>
          <w:trHeight w:val="274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Obciążenie studenta na zajęciach wymagających bezpośredniego udziału nauczycieli akademickich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30 ½ h </w:t>
            </w:r>
          </w:p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 ECTS</w:t>
            </w:r>
          </w:p>
        </w:tc>
      </w:tr>
    </w:tbl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11. Zatwierdzenie karty przedmiotu do realizacji </w:t>
      </w:r>
    </w:p>
    <w:p w:rsidR="00201541" w:rsidRDefault="00201541" w:rsidP="00201541">
      <w:pPr>
        <w:shd w:val="clear" w:color="auto" w:fill="FFFFFF"/>
        <w:jc w:val="both"/>
        <w:rPr>
          <w:kern w:val="24"/>
        </w:rPr>
      </w:pPr>
    </w:p>
    <w:p w:rsidR="00201541" w:rsidRDefault="00201541" w:rsidP="00201541">
      <w:pPr>
        <w:shd w:val="clear" w:color="auto" w:fill="FFFFFF"/>
        <w:jc w:val="both"/>
      </w:pPr>
      <w:r>
        <w:rPr>
          <w:kern w:val="24"/>
        </w:rPr>
        <w:t xml:space="preserve">1. </w:t>
      </w:r>
      <w:r>
        <w:t xml:space="preserve">Odpowiedzialny za przedmiot: </w:t>
      </w:r>
      <w:r w:rsidR="00B32333">
        <w:rPr>
          <w:rFonts w:cs="Calibri"/>
          <w:kern w:val="1"/>
        </w:rPr>
        <w:t>Dr Dariusz Iwaneczko</w:t>
      </w:r>
    </w:p>
    <w:p w:rsidR="00201541" w:rsidRDefault="00201541" w:rsidP="00201541">
      <w:pPr>
        <w:shd w:val="clear" w:color="auto" w:fill="FFFFFF"/>
        <w:jc w:val="both"/>
      </w:pPr>
    </w:p>
    <w:p w:rsidR="00201541" w:rsidRDefault="00201541" w:rsidP="00201541">
      <w:pPr>
        <w:shd w:val="clear" w:color="auto" w:fill="FFFFFF"/>
        <w:jc w:val="both"/>
      </w:pPr>
      <w:r>
        <w:rPr>
          <w:kern w:val="24"/>
        </w:rPr>
        <w:t xml:space="preserve">2. </w:t>
      </w:r>
      <w:r w:rsidR="00C523BC">
        <w:t>Dyrektor Instytutu: dr Irena Kozimala</w:t>
      </w:r>
    </w:p>
    <w:p w:rsidR="00201541" w:rsidRDefault="00201541" w:rsidP="00201541">
      <w:pPr>
        <w:shd w:val="clear" w:color="auto" w:fill="FFFFFF"/>
        <w:jc w:val="both"/>
      </w:pPr>
    </w:p>
    <w:p w:rsidR="00201541" w:rsidRDefault="00201541" w:rsidP="00201541">
      <w:r>
        <w:t>Przemyśl, data 2</w:t>
      </w:r>
      <w:r w:rsidR="00A84EEF">
        <w:t>5. 05</w:t>
      </w:r>
      <w:r>
        <w:t xml:space="preserve">. </w:t>
      </w:r>
      <w:r w:rsidR="00C523BC">
        <w:t>2018</w:t>
      </w:r>
      <w:r>
        <w:t xml:space="preserve"> r.</w:t>
      </w:r>
    </w:p>
    <w:p w:rsidR="00201541" w:rsidRPr="00C523BC" w:rsidRDefault="00201541" w:rsidP="00201541">
      <w:pPr>
        <w:pStyle w:val="Tekstpodstawowy"/>
        <w:jc w:val="both"/>
        <w:rPr>
          <w:iCs/>
        </w:rPr>
      </w:pPr>
    </w:p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</w:p>
    <w:p w:rsidR="00691641" w:rsidRDefault="00691641"/>
    <w:sectPr w:rsidR="00691641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213A"/>
    <w:multiLevelType w:val="hybridMultilevel"/>
    <w:tmpl w:val="72C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800F9D"/>
    <w:multiLevelType w:val="multilevel"/>
    <w:tmpl w:val="600C00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541"/>
    <w:rsid w:val="0006032C"/>
    <w:rsid w:val="0006334D"/>
    <w:rsid w:val="00073F69"/>
    <w:rsid w:val="00087274"/>
    <w:rsid w:val="00097C92"/>
    <w:rsid w:val="000A058A"/>
    <w:rsid w:val="000A681E"/>
    <w:rsid w:val="000A6C1A"/>
    <w:rsid w:val="000C5FAE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01541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6D5A"/>
    <w:rsid w:val="00457934"/>
    <w:rsid w:val="0046537D"/>
    <w:rsid w:val="004A109A"/>
    <w:rsid w:val="004E7D61"/>
    <w:rsid w:val="004E7EFE"/>
    <w:rsid w:val="004F2E00"/>
    <w:rsid w:val="005035DD"/>
    <w:rsid w:val="0051469C"/>
    <w:rsid w:val="00527996"/>
    <w:rsid w:val="00533F98"/>
    <w:rsid w:val="00544620"/>
    <w:rsid w:val="005465E2"/>
    <w:rsid w:val="0056678C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55C1C"/>
    <w:rsid w:val="00661361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E0ACB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84EEF"/>
    <w:rsid w:val="00A91BCC"/>
    <w:rsid w:val="00A97C1F"/>
    <w:rsid w:val="00AA25FA"/>
    <w:rsid w:val="00AA592F"/>
    <w:rsid w:val="00AA65AF"/>
    <w:rsid w:val="00AC4C21"/>
    <w:rsid w:val="00AD1F59"/>
    <w:rsid w:val="00AD444D"/>
    <w:rsid w:val="00AD4AAE"/>
    <w:rsid w:val="00AD6727"/>
    <w:rsid w:val="00AE0B07"/>
    <w:rsid w:val="00AF3830"/>
    <w:rsid w:val="00AF7E9A"/>
    <w:rsid w:val="00B11738"/>
    <w:rsid w:val="00B22851"/>
    <w:rsid w:val="00B32333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B4AC2"/>
    <w:rsid w:val="00BC7E6E"/>
    <w:rsid w:val="00BD021A"/>
    <w:rsid w:val="00BD1232"/>
    <w:rsid w:val="00BF5DF8"/>
    <w:rsid w:val="00C1314A"/>
    <w:rsid w:val="00C160AE"/>
    <w:rsid w:val="00C2176B"/>
    <w:rsid w:val="00C21F46"/>
    <w:rsid w:val="00C523BC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253E6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15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15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015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8</cp:revision>
  <dcterms:created xsi:type="dcterms:W3CDTF">2016-02-25T18:16:00Z</dcterms:created>
  <dcterms:modified xsi:type="dcterms:W3CDTF">2021-01-31T20:42:00Z</dcterms:modified>
</cp:coreProperties>
</file>