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0A" w:rsidRDefault="0000390A" w:rsidP="0000390A">
      <w:pPr>
        <w:widowControl w:val="0"/>
        <w:tabs>
          <w:tab w:val="left" w:pos="142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ab/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143000" cy="457200"/>
            <wp:effectExtent l="0" t="0" r="0" b="0"/>
            <wp:docPr id="1" name="Obraz 1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FF0000"/>
          <w:sz w:val="28"/>
          <w:szCs w:val="28"/>
        </w:rPr>
        <w:tab/>
        <w:t xml:space="preserve">            </w:t>
      </w:r>
    </w:p>
    <w:p w:rsidR="0000390A" w:rsidRDefault="0000390A" w:rsidP="000039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90A" w:rsidRDefault="0000390A" w:rsidP="000039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Procedura dyplomowania</w:t>
      </w:r>
    </w:p>
    <w:p w:rsidR="0000390A" w:rsidRDefault="0000390A" w:rsidP="000039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kierunku </w:t>
      </w:r>
      <w:r>
        <w:rPr>
          <w:rFonts w:ascii="Times New Roman" w:hAnsi="Times New Roman"/>
          <w:b/>
          <w:i/>
          <w:sz w:val="28"/>
          <w:szCs w:val="28"/>
        </w:rPr>
        <w:t>Filologia angielska</w:t>
      </w:r>
    </w:p>
    <w:p w:rsidR="00CB2FA8" w:rsidRDefault="00CB2FA8" w:rsidP="00CB2FA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akademickim 2020/2021</w:t>
      </w:r>
    </w:p>
    <w:p w:rsidR="00CB2FA8" w:rsidRDefault="00CB2FA8" w:rsidP="000039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8443C4" w:rsidRDefault="008443C4" w:rsidP="008443C4">
      <w:pPr>
        <w:pStyle w:val="NormalnyWeb"/>
        <w:spacing w:before="0" w:beforeAutospacing="0" w:after="0" w:afterAutospacing="0" w:line="360" w:lineRule="auto"/>
        <w:jc w:val="center"/>
      </w:pPr>
      <w:r>
        <w:t> </w:t>
      </w:r>
    </w:p>
    <w:p w:rsidR="00666732" w:rsidRDefault="00666732" w:rsidP="0066673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procedury dyplomowania są przepisy </w:t>
      </w:r>
      <w:r>
        <w:rPr>
          <w:rFonts w:ascii="Times New Roman" w:hAnsi="Times New Roman"/>
          <w:i/>
          <w:sz w:val="24"/>
          <w:szCs w:val="24"/>
        </w:rPr>
        <w:t>Regulaminu Studiów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Państwowej Wyższej Szkoły Wschodnioeuropejskiej w Przemyślu wprowadzonego </w:t>
      </w:r>
      <w:r>
        <w:rPr>
          <w:rFonts w:ascii="Times New Roman" w:hAnsi="Times New Roman"/>
          <w:i/>
          <w:sz w:val="24"/>
          <w:szCs w:val="24"/>
        </w:rPr>
        <w:t>Uchwałą nr PWSW-SEK-0003/28/20 Senatu PWSW</w:t>
      </w:r>
      <w:r>
        <w:rPr>
          <w:rFonts w:ascii="Times New Roman" w:hAnsi="Times New Roman"/>
          <w:sz w:val="24"/>
          <w:szCs w:val="24"/>
        </w:rPr>
        <w:t xml:space="preserve"> z dnia 30 kwietnia 2020 r. oraz </w:t>
      </w:r>
      <w:r>
        <w:rPr>
          <w:rFonts w:ascii="Times New Roman" w:hAnsi="Times New Roman"/>
          <w:i/>
          <w:sz w:val="24"/>
          <w:szCs w:val="24"/>
        </w:rPr>
        <w:t>Uchwała nr 71/2019 Senatu Państwowej Wyższej Szkoły Wschodnioeuropejskiej w Przemyślu</w:t>
      </w:r>
      <w:r>
        <w:rPr>
          <w:rFonts w:ascii="Times New Roman" w:hAnsi="Times New Roman"/>
          <w:sz w:val="24"/>
          <w:szCs w:val="24"/>
        </w:rPr>
        <w:t xml:space="preserve"> z dnia 8 lipca 2019 r. w sprawie procedury dyplomowania.</w:t>
      </w:r>
    </w:p>
    <w:p w:rsidR="00666732" w:rsidRDefault="00666732" w:rsidP="008443C4">
      <w:pPr>
        <w:pStyle w:val="NormalnyWeb"/>
        <w:spacing w:before="0" w:beforeAutospacing="0" w:after="0" w:afterAutospacing="0" w:line="360" w:lineRule="auto"/>
        <w:jc w:val="center"/>
        <w:rPr>
          <w:rFonts w:ascii="Constantia" w:hAnsi="Constantia"/>
          <w:b/>
        </w:rPr>
      </w:pPr>
    </w:p>
    <w:p w:rsidR="008443C4" w:rsidRPr="00E77B11" w:rsidRDefault="008443C4" w:rsidP="008443C4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E77B11">
        <w:rPr>
          <w:b/>
        </w:rPr>
        <w:t>WYTYCZNE DOTYCZĄCE DYPLOMOWANIA</w:t>
      </w:r>
    </w:p>
    <w:p w:rsidR="008443C4" w:rsidRPr="00E77B11" w:rsidRDefault="008443C4" w:rsidP="008443C4">
      <w:pPr>
        <w:pStyle w:val="NormalnyWeb"/>
        <w:spacing w:before="0" w:beforeAutospacing="0" w:after="0" w:afterAutospacing="0" w:line="360" w:lineRule="auto"/>
        <w:jc w:val="both"/>
      </w:pPr>
    </w:p>
    <w:p w:rsidR="008443C4" w:rsidRPr="00E77B11" w:rsidRDefault="008443C4" w:rsidP="008443C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709" w:hanging="349"/>
        <w:jc w:val="both"/>
        <w:rPr>
          <w:b/>
        </w:rPr>
      </w:pPr>
      <w:r w:rsidRPr="00E77B11">
        <w:rPr>
          <w:b/>
        </w:rPr>
        <w:t>Tryb składania dokumentów</w:t>
      </w:r>
    </w:p>
    <w:p w:rsidR="008443C4" w:rsidRPr="00E77B11" w:rsidRDefault="008443C4" w:rsidP="008443C4">
      <w:pPr>
        <w:pStyle w:val="NormalnyWeb"/>
        <w:spacing w:before="0" w:beforeAutospacing="0" w:after="0" w:afterAutospacing="0" w:line="360" w:lineRule="auto"/>
        <w:jc w:val="both"/>
      </w:pPr>
    </w:p>
    <w:p w:rsidR="008443C4" w:rsidRPr="00E77B11" w:rsidRDefault="008443C4" w:rsidP="008443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Student zobowiązany jest złożyć pracę dyplomową w roku planowego ukończenia studiów nie później niż d0 30 czerwca.</w:t>
      </w:r>
    </w:p>
    <w:p w:rsidR="008443C4" w:rsidRPr="005D7098" w:rsidRDefault="008443C4" w:rsidP="008443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W Instytucie Humanistyczno-Artystycznym, nie później niż 7 dni przed obroną pracy dyplomowej, student składa:</w:t>
      </w:r>
    </w:p>
    <w:p w:rsidR="008443C4" w:rsidRPr="005D7098" w:rsidRDefault="008443C4" w:rsidP="00844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C4" w:rsidRPr="005D7098" w:rsidRDefault="008443C4" w:rsidP="008443C4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2 egzemplarze pracy dyplomowej,</w:t>
      </w:r>
    </w:p>
    <w:p w:rsidR="008443C4" w:rsidRPr="005D7098" w:rsidRDefault="008443C4" w:rsidP="008443C4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egzemplarz pracy do zarchiwizowania (wydruk dwustronny w miękkiej oprawie),</w:t>
      </w:r>
    </w:p>
    <w:p w:rsidR="008443C4" w:rsidRPr="005D7098" w:rsidRDefault="008443C4" w:rsidP="008443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C4" w:rsidRPr="005D7098" w:rsidRDefault="008443C4" w:rsidP="008443C4">
      <w:pPr>
        <w:pStyle w:val="Akapitzlist"/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Praca dyplomowa powinna zawierać:</w:t>
      </w:r>
    </w:p>
    <w:p w:rsidR="008443C4" w:rsidRPr="005D7098" w:rsidRDefault="008443C4" w:rsidP="005D7098">
      <w:pPr>
        <w:pStyle w:val="Akapitzlist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098">
        <w:rPr>
          <w:rFonts w:ascii="Times New Roman" w:hAnsi="Times New Roman" w:cs="Times New Roman"/>
          <w:sz w:val="24"/>
          <w:szCs w:val="24"/>
        </w:rPr>
        <w:t>stronę tytułową sporządzoną według ustalonego wzoru oraz załączniku podane na stronie internetowej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kopię pracy na płycie CD zapisaną w jednym pliku PDF, w białej kopercie, podpisanej imieniem i nazwiskiem, nr albumu, tematem pracy oraz kierunkiem studiów,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dowód wpłaty za wydanie dyplomu ukończenia studiów oraz suplementu </w:t>
      </w:r>
      <w:r w:rsidRPr="00E77B11">
        <w:rPr>
          <w:rFonts w:ascii="Times New Roman" w:hAnsi="Times New Roman" w:cs="Times New Roman"/>
          <w:sz w:val="24"/>
          <w:szCs w:val="24"/>
        </w:rPr>
        <w:br/>
        <w:t>( wpłaty należy dokonać w Kasie PWSW),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indeks oraz kartę egzaminacyjną do zaliczenia szóstego semestru studiów,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lastRenderedPageBreak/>
        <w:t xml:space="preserve">podanie do Dyrektora Instytutu z prośbą o dopuszczenie i wyznaczenie terminu egzaminu 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oświadczenie studenta o nośniku elektronicznym 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oświadczenie studenta dotyczące sposobu wykorzystania pracy 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wypełnioną kartę obiegową,</w:t>
      </w:r>
    </w:p>
    <w:p w:rsidR="008443C4" w:rsidRPr="00E77B11" w:rsidRDefault="008443C4" w:rsidP="008443C4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dzienniczek praktyk.</w:t>
      </w:r>
    </w:p>
    <w:p w:rsidR="008443C4" w:rsidRPr="00E77B11" w:rsidRDefault="008443C4" w:rsidP="00844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43C4" w:rsidRPr="00E77B11" w:rsidRDefault="008443C4" w:rsidP="00844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II. </w:t>
      </w:r>
      <w:r w:rsidRPr="00E77B11">
        <w:rPr>
          <w:rFonts w:ascii="Times New Roman" w:hAnsi="Times New Roman" w:cs="Times New Roman"/>
          <w:b/>
          <w:sz w:val="24"/>
          <w:szCs w:val="24"/>
        </w:rPr>
        <w:t>Wytyczne dotyczące przeprowadzenia egzaminu dyplomowego</w:t>
      </w:r>
    </w:p>
    <w:p w:rsidR="008443C4" w:rsidRPr="00E77B11" w:rsidRDefault="008443C4" w:rsidP="008443C4">
      <w:pPr>
        <w:pStyle w:val="Default"/>
        <w:rPr>
          <w:rFonts w:ascii="Times New Roman" w:hAnsi="Times New Roman" w:cs="Times New Roman"/>
        </w:rPr>
      </w:pP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Warunki dopuszczenia do egzaminu dyplomowego:</w:t>
      </w:r>
    </w:p>
    <w:p w:rsidR="008443C4" w:rsidRPr="00E77B11" w:rsidRDefault="008443C4" w:rsidP="008443C4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uzyskanie zaliczeń wszystkich przedmiotów, praktyk oraz złożenie wszystkich egzaminów objętych planem studiów i programem kształcenia, </w:t>
      </w:r>
    </w:p>
    <w:p w:rsidR="008443C4" w:rsidRPr="00E77B11" w:rsidRDefault="008443C4" w:rsidP="008443C4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uzyskanie oceny co najmniej ,,dostatecznej” z pracy dyplomowej,</w:t>
      </w:r>
    </w:p>
    <w:p w:rsidR="008443C4" w:rsidRPr="00E77B11" w:rsidRDefault="008443C4" w:rsidP="008443C4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złożenie w sekretariacie Instytutu Humanistyczno-Artystycznego 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Oceny pracy dyplomowej dokonują: nauczyciel kierujący procesem jej powstawania oraz recenzent według obowiązującego w PWSW formularza 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Jedna z tych osób powinna mieć przynajmniej stopień doktora. Recenzenta wyznacza Dyrektor Instytutu.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Ocenę pracy dyplomowej stanowi średnia arytmetyczna ocen opiekuna pracy</w:t>
      </w:r>
      <w:r w:rsidRPr="00E77B11">
        <w:rPr>
          <w:rFonts w:ascii="Times New Roman" w:hAnsi="Times New Roman" w:cs="Times New Roman"/>
          <w:sz w:val="24"/>
          <w:szCs w:val="24"/>
        </w:rPr>
        <w:br/>
        <w:t xml:space="preserve"> i recenzenta z dokładnością do dwóch miejsc po przecinku.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Gdy jedna z ocen pracy dyplomowej jest negatywna, Dyrektor Instytutu podejmuje decyzje o powołaniu drugiego recenzenta lub skierowaniu pracy do poprawy.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 przypadku powołania drugiego recenzenta jego opinia jest wiążąca i na jej podstawie Dyrektor Instytutu podejmuje decyzję o dalszym toku egzaminowania.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Egzamin dyplomowy odbywa się przed komisją powołaną przez Dyrektora Instytutu, w skład której wchodzą: przewodniczący, opiekun pracy oraz recenzent.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Egzamin dyplomowy jest egzaminem ustnym.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Egzamin dyplomowy winien odbyć się w terminie nieprzekraczającym jednego miesiąca od daty złożenia pracy dyplomowej. 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Egzamin dyplomowy obejmuje:</w:t>
      </w:r>
    </w:p>
    <w:p w:rsidR="008443C4" w:rsidRPr="00E77B11" w:rsidRDefault="008443C4" w:rsidP="008443C4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prezentację głównych tez pracy dyplomowej</w:t>
      </w:r>
    </w:p>
    <w:p w:rsidR="008443C4" w:rsidRPr="00E77B11" w:rsidRDefault="008443C4" w:rsidP="008443C4">
      <w:pPr>
        <w:pStyle w:val="Akapitzlist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odpowiedzi na 2 pytania zadane przez opiekuna pracy i jedno pytanie recenzenta; każde z tych pytań jest oceniane a obliczona średnia arytmetyczna z dokładnością do dwóch miejsc po przecinku wyznacza ocenę egzaminu dyplomowego.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lastRenderedPageBreak/>
        <w:t>Średnia ocena egzaminu dyplomowego musi wynosić co najmniej 3,00; dopuszcza się, że jedno z zadanych pytań może być ocenione na ocenę niedostateczną (2,00).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Z przebiegu egzaminu dyplomowego sporządza się protokół według wzoru obowiązującego w PWSW, protokół zawiera: tematy zadanych pytań, ocenę wypowiedzi, ocenę egzaminu dyplomowego, ocenę pracy, a także ogólną ocenę studiów.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Ostateczny wynik studiów oraz ogólny wynik studiów ustalany jest na podstawie postanowień </w:t>
      </w:r>
      <w:r w:rsidRPr="00E77B11">
        <w:rPr>
          <w:rFonts w:ascii="Times New Roman" w:hAnsi="Times New Roman" w:cs="Times New Roman"/>
          <w:i/>
          <w:sz w:val="24"/>
          <w:szCs w:val="24"/>
        </w:rPr>
        <w:t>Regulaminu studiów wyższych w Państwowej Wyższej Szkole Wschodnioeuropejskiej w Przemyślu</w:t>
      </w:r>
      <w:r w:rsidRPr="00E77B11">
        <w:rPr>
          <w:rFonts w:ascii="Times New Roman" w:hAnsi="Times New Roman" w:cs="Times New Roman"/>
          <w:sz w:val="24"/>
          <w:szCs w:val="24"/>
        </w:rPr>
        <w:t>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 przypadku uzyskania z egzaminu dyplomowego oceny ,,niedostatecznej” (2,0) albo nieusprawiedliwionego nieprzystąpienia do egzaminu w ustalonym terminie Dyrektor Instytutu wyznacza drugi termin jako ostateczny; powtórny egzamin nie może zostać złożony wcześniej niż przed upływem jednego miesiąca i nie później niż po upływie dwóch miesięcy od daty egzaminu pierwszego.</w:t>
      </w:r>
    </w:p>
    <w:p w:rsidR="008443C4" w:rsidRPr="00E77B11" w:rsidRDefault="008443C4" w:rsidP="008443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W przypadku niezłożenia egzaminu dyplomowego w drugim terminie Dyrektor Instytutu występuje z wnioskiem do Rektora o skreślenie studenta z listy studentów.</w:t>
      </w:r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11" w:rsidRPr="00E77B11" w:rsidRDefault="00E77B11" w:rsidP="00E77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C4" w:rsidRPr="00E77B11" w:rsidRDefault="008443C4" w:rsidP="008443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11">
        <w:rPr>
          <w:rFonts w:ascii="Times New Roman" w:hAnsi="Times New Roman" w:cs="Times New Roman"/>
          <w:b/>
          <w:sz w:val="24"/>
          <w:szCs w:val="24"/>
        </w:rPr>
        <w:t>III. Standardy przygotowania pracy dyplomowej</w:t>
      </w:r>
    </w:p>
    <w:p w:rsidR="008443C4" w:rsidRPr="00E77B11" w:rsidRDefault="008443C4" w:rsidP="008443C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Praca dyplomowa powstaje w ramach seminarium licencjackiego. Tematy prac dyplomowych powinny być ustalone najpóźniej do końca piątego semestru studiów i zgłoszone w sekretariacie Instytutu Humanistyczno-Artystycznego</w:t>
      </w:r>
    </w:p>
    <w:p w:rsidR="008443C4" w:rsidRPr="00E77B11" w:rsidRDefault="008443C4" w:rsidP="008443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Temat i treść pracy dyplomowej muszą być zgodne z kierunkiem studiów</w:t>
      </w:r>
      <w:r w:rsidRPr="00E77B11">
        <w:rPr>
          <w:rFonts w:ascii="Times New Roman" w:hAnsi="Times New Roman" w:cs="Times New Roman"/>
          <w:sz w:val="24"/>
          <w:szCs w:val="24"/>
        </w:rPr>
        <w:br/>
        <w:t xml:space="preserve"> i dotyczyć jednej z trzech dziedzin: językoznawstwa, literaturoznawstwa, lub historii i kulturoznawstwa.</w:t>
      </w:r>
    </w:p>
    <w:p w:rsidR="008443C4" w:rsidRPr="00E77B11" w:rsidRDefault="008443C4" w:rsidP="008443C4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Praca dyplomowa może mieć charakter przeglądowy, porządkujący lub sprawozdawczy. Może też obejmować wąskie zagadnienie badawcze związane z analizą i interpretacją jednego lub kilku tekstów (zjawisk językowych). </w:t>
      </w:r>
    </w:p>
    <w:p w:rsidR="008443C4" w:rsidRPr="00E77B11" w:rsidRDefault="008443C4" w:rsidP="008443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Student jest zobowiązany systematycznie (w trakcie zajęć lub dyżurów konsultacyjnych) referować postępy badań opiekunowi; opiekun może odmówić przyjęcia gotowej pracy, jeśli nie zna kolejnych etapów jej powstawania.</w:t>
      </w:r>
    </w:p>
    <w:p w:rsidR="008443C4" w:rsidRPr="00E77B11" w:rsidRDefault="008443C4" w:rsidP="008443C4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  <w:bCs/>
        </w:rPr>
        <w:t>Wymagania edytorsko-techniczne:</w:t>
      </w:r>
    </w:p>
    <w:p w:rsidR="008443C4" w:rsidRPr="00E77B11" w:rsidRDefault="008443C4" w:rsidP="008443C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>Praca winna być pisana na białym papierze, dwustronnie z zastosowaniem pojedynczej kolumny tekstu w układzie blokowym– obustronne wyjustowanie (jedynie cytaty wierszowane powinny zachować układ chorągiewkowy).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Zalecana objętość pracy: 30-40 stron formatu A4. 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Odstępy między liniami w tekście głównym: 1,5 wiersza; w przypisach </w:t>
      </w:r>
      <w:r w:rsidRPr="00E77B11">
        <w:rPr>
          <w:rFonts w:ascii="Times New Roman" w:hAnsi="Times New Roman" w:cs="Times New Roman"/>
        </w:rPr>
        <w:br/>
        <w:t xml:space="preserve">i dłuższych cytatach: 1,0 wiersza. 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>Marginesy: górny 2,5 cm; dolny 2,5 cm; prawy 2,5 cm; lewy 2,5 + 1,0 cm.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E77B11">
        <w:rPr>
          <w:rFonts w:ascii="Times New Roman" w:hAnsi="Times New Roman" w:cs="Times New Roman"/>
        </w:rPr>
        <w:t xml:space="preserve">Czcionka: </w:t>
      </w:r>
      <w:r w:rsidRPr="00E77B11">
        <w:rPr>
          <w:rFonts w:ascii="Times New Roman" w:hAnsi="Times New Roman" w:cs="Times New Roman"/>
          <w:i/>
        </w:rPr>
        <w:t>Times New Roman</w:t>
      </w:r>
      <w:r w:rsidRPr="00E77B11">
        <w:rPr>
          <w:rFonts w:ascii="Times New Roman" w:hAnsi="Times New Roman" w:cs="Times New Roman"/>
        </w:rPr>
        <w:t xml:space="preserve"> o wielkości 12 (w tekście zasadniczym pracy); w przypadku tytułów ilustracji, przypisów i spisu literatury można stosować czcionkę o wielkości 10, a w przypadku tytułów rozdziału/podrozdziałów </w:t>
      </w:r>
      <w:r w:rsidRPr="00E77B11">
        <w:rPr>
          <w:rFonts w:ascii="Times New Roman" w:hAnsi="Times New Roman" w:cs="Times New Roman"/>
          <w:color w:val="auto"/>
        </w:rPr>
        <w:t xml:space="preserve">czcionką o rozmiarze 14-16. </w:t>
      </w:r>
    </w:p>
    <w:p w:rsidR="008443C4" w:rsidRPr="00E77B11" w:rsidRDefault="008443C4" w:rsidP="008443C4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 xml:space="preserve">Strona tytułowa powinna być sporządzona według ustalonego wzoru (załącznik nr 1 </w:t>
      </w:r>
      <w:r w:rsidRPr="00E77B11">
        <w:rPr>
          <w:rFonts w:ascii="Times New Roman" w:hAnsi="Times New Roman" w:cs="Times New Roman"/>
          <w:i/>
          <w:sz w:val="24"/>
          <w:szCs w:val="24"/>
        </w:rPr>
        <w:t>Uchwały</w:t>
      </w:r>
      <w:r w:rsidRPr="00E77B11">
        <w:rPr>
          <w:rFonts w:ascii="Times New Roman" w:hAnsi="Times New Roman" w:cs="Times New Roman"/>
          <w:sz w:val="24"/>
          <w:szCs w:val="24"/>
        </w:rPr>
        <w:t xml:space="preserve"> </w:t>
      </w:r>
      <w:r w:rsidRPr="00E77B11">
        <w:rPr>
          <w:rFonts w:ascii="Times New Roman" w:hAnsi="Times New Roman" w:cs="Times New Roman"/>
          <w:i/>
          <w:sz w:val="24"/>
          <w:szCs w:val="24"/>
        </w:rPr>
        <w:t>Senatu PWSW</w:t>
      </w:r>
      <w:r w:rsidRPr="00E77B11">
        <w:rPr>
          <w:rFonts w:ascii="Times New Roman" w:hAnsi="Times New Roman" w:cs="Times New Roman"/>
          <w:sz w:val="24"/>
          <w:szCs w:val="24"/>
        </w:rPr>
        <w:t xml:space="preserve"> nr 13/2013).</w:t>
      </w:r>
    </w:p>
    <w:p w:rsidR="008443C4" w:rsidRPr="00E77B11" w:rsidRDefault="008443C4" w:rsidP="008443C4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7B11">
        <w:rPr>
          <w:rFonts w:ascii="Times New Roman" w:hAnsi="Times New Roman" w:cs="Times New Roman"/>
          <w:sz w:val="24"/>
          <w:szCs w:val="24"/>
        </w:rPr>
        <w:t>System przypisów powinien być spójny i uporządkowany.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>Bibliografia załącznikowa powinna obejmować literaturę podmiotu, literaturę przedmiotu i źródła internetowe. W przypadku tych ostatnich do opisu należy dodać datę dostępu. Dwie pierwsze części należy uporządkować alfabetycznie, trzecią chronologicznie.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lastRenderedPageBreak/>
        <w:t>Podstawą opisu bibliograficznego jest karta tytułowa dokumentu.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E77B11">
        <w:rPr>
          <w:rFonts w:ascii="Times New Roman" w:hAnsi="Times New Roman" w:cs="Times New Roman"/>
          <w:color w:val="auto"/>
        </w:rPr>
        <w:t xml:space="preserve">Książki i artykuły wymieniane w tekście pracy należy identyfikować stosując następujące zasady: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480"/>
      </w:tblGrid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Książka z jednym autorem:</w:t>
            </w: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Abercrombie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M. L. J. 1960.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Anatomy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Judgment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London: Hutchinson. </w:t>
            </w:r>
          </w:p>
        </w:tc>
      </w:tr>
      <w:tr w:rsidR="008443C4" w:rsidRPr="00E77B11" w:rsidTr="00B25D52">
        <w:trPr>
          <w:trHeight w:val="248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Artykuł w czasopiśmie: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(należy podać numery stron)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Anderson,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Lynn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 1967.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Belief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defence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produced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by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derogation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message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source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Journal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Experimental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Social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Psychology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3/4: 349-360.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Książka z dwoma autorami: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Andrews, P. John &amp; Allen, Richard 1994.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Ontological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Chaos.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Cambridge: C.U.P.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Kolejne wydanie książki: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Anscombe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G. E. M. 1972.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Intention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2nd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edition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Oxford: Basil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Blackwell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Artykuł gazetowy bez notki o autorze: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Canberra Times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1993.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Alcohol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part of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teen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lives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CT 1/10/93: 18.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Artykuł gazetowy z notką o autorze: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P. 1993. Drink-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drive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figures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ACT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record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The Canberra Times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20/12/93: 3.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Praca magisterska/ doktorska: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Elliott, Barry J. 1991.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 Re-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Examination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the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Social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Marketing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Concept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MComm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Hons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Thesis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UNSW. </w:t>
            </w:r>
          </w:p>
        </w:tc>
      </w:tr>
      <w:tr w:rsidR="008443C4" w:rsidRPr="00E77B11" w:rsidTr="00B25D52">
        <w:trPr>
          <w:trHeight w:val="479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Referat pokonferencyjny: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(należy podać numery stron)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Forsyth, I. &amp;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Ogden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E. J. D. 1993. Marketing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traffic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safety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as a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consumer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product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VIC, Australia.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Proceedings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the 12th International Conference on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Alcohol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Drugs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Traffic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Safety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Cologne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28 Sept to 2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Oct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1992.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Cologne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Verlag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TÜV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Rheinland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1437-1442.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Encyklopedia: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Hirst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R. J. 1967.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Perception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Encyclopaedia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Philosophy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Vol 6. New York: Macmillan, 79-87.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Książka/ Zbiór pod redakcją: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Jolling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T. &amp; Bridgestone, T. (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1998.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Antidotes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Catastrophe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Sydney: Cape.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Raport: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Kennaird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Allan 1995.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Accident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Trends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in New Zealand.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Research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Report 47. Wellington: Transit New Zealand. </w:t>
            </w:r>
          </w:p>
        </w:tc>
      </w:tr>
      <w:tr w:rsidR="008443C4" w:rsidRPr="00E77B11" w:rsidTr="00B25D52">
        <w:trPr>
          <w:trHeight w:val="60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Artykuł w książce: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(należy podać numery stron)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Lang, Kurt &amp; Lang,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Gladys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Engel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1959. The mass media and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voting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In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Burdick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&amp;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Brodbeck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1959: 217–235. 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Burdick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E. &amp;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Brodbeck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A. (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1959.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American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Voting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Behaviour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Glencoe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Free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Press. </w:t>
            </w:r>
          </w:p>
        </w:tc>
      </w:tr>
      <w:tr w:rsidR="008443C4" w:rsidRPr="00E77B11" w:rsidTr="00B25D52">
        <w:trPr>
          <w:trHeight w:val="665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Materiały Online: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(należy podać datę dostępu i umieścić adres URL w nawiasach </w:t>
            </w: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&lt;&gt; </w:t>
            </w:r>
            <w:r w:rsidRPr="00E77B1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)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Penn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State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University online [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accessed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23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November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1997].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Frequently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Asked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Lecture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Questions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(FAQ): Human Information Processing. </w:t>
            </w:r>
          </w:p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&lt;http://indy.ie.psu.edu/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classes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/ie408/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lectures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hipfaq.html#questions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&gt; </w:t>
            </w:r>
          </w:p>
        </w:tc>
      </w:tr>
      <w:tr w:rsidR="008443C4" w:rsidRPr="00E77B11" w:rsidTr="00B25D52">
        <w:trPr>
          <w:trHeight w:val="113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Źródło bez autora: 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Public and the Media, The </w:t>
            </w: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1974. Sydney: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Department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the Media. </w:t>
            </w:r>
          </w:p>
        </w:tc>
      </w:tr>
      <w:tr w:rsidR="008443C4" w:rsidRPr="00E77B11" w:rsidTr="00B25D52">
        <w:trPr>
          <w:trHeight w:val="251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Korespondencja prywatna: 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Robertson, Henry 1994.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Personal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correspondence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13/5/94.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Źródło bez daty: 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Szimonovsky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Leo [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n.d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.]. </w:t>
            </w:r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A Little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Book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about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Meaning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Translated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from the Russian by Vladimir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Letimov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London: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Vanity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Press. </w:t>
            </w:r>
          </w:p>
        </w:tc>
      </w:tr>
      <w:tr w:rsidR="008443C4" w:rsidRPr="00E77B11" w:rsidTr="00B25D52">
        <w:trPr>
          <w:trHeight w:val="226"/>
        </w:trPr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7B1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lastRenderedPageBreak/>
              <w:t xml:space="preserve">Źródło z tytułem i podtytułem:  </w:t>
            </w:r>
          </w:p>
        </w:tc>
        <w:tc>
          <w:tcPr>
            <w:tcW w:w="4480" w:type="dxa"/>
          </w:tcPr>
          <w:p w:rsidR="008443C4" w:rsidRPr="00E77B11" w:rsidRDefault="008443C4" w:rsidP="00B25D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Taylor, </w:t>
            </w:r>
            <w:proofErr w:type="spellStart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Minnie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1998.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Tertiary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Education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in Europe, The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Americas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and Asia: A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Comparative</w:t>
            </w:r>
            <w:proofErr w:type="spellEnd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7B1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Study</w:t>
            </w:r>
            <w:proofErr w:type="spellEnd"/>
            <w:r w:rsidRPr="00E77B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London: Macmillan. </w:t>
            </w:r>
          </w:p>
        </w:tc>
      </w:tr>
    </w:tbl>
    <w:p w:rsidR="008443C4" w:rsidRPr="00E77B11" w:rsidRDefault="008443C4" w:rsidP="008443C4">
      <w:pPr>
        <w:rPr>
          <w:rFonts w:ascii="Times New Roman" w:hAnsi="Times New Roman" w:cs="Times New Roman"/>
        </w:rPr>
      </w:pP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W opisach bibliograficznych stosujemy konsekwencję w zakresie używanych skrótów (np. </w:t>
      </w:r>
      <w:proofErr w:type="spellStart"/>
      <w:r w:rsidRPr="00E77B11">
        <w:rPr>
          <w:rFonts w:ascii="Times New Roman" w:hAnsi="Times New Roman" w:cs="Times New Roman"/>
          <w:color w:val="auto"/>
        </w:rPr>
        <w:t>e.g</w:t>
      </w:r>
      <w:proofErr w:type="spellEnd"/>
      <w:r w:rsidRPr="00E77B11">
        <w:rPr>
          <w:rFonts w:ascii="Times New Roman" w:hAnsi="Times New Roman" w:cs="Times New Roman"/>
          <w:color w:val="auto"/>
        </w:rPr>
        <w:t>., i.e., et al.),</w:t>
      </w:r>
      <w:r w:rsidRPr="00E77B11">
        <w:rPr>
          <w:rFonts w:ascii="Times New Roman" w:hAnsi="Times New Roman" w:cs="Times New Roman"/>
        </w:rPr>
        <w:t xml:space="preserve"> cyfr, imion i interpunkcji. 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Materiały ilustracyjny, tabele, wykresy powinny być numerowane </w:t>
      </w:r>
      <w:r w:rsidRPr="00E77B11">
        <w:rPr>
          <w:rFonts w:ascii="Times New Roman" w:hAnsi="Times New Roman" w:cs="Times New Roman"/>
        </w:rPr>
        <w:br/>
        <w:t xml:space="preserve">i podpisane (np. </w:t>
      </w:r>
      <w:proofErr w:type="spellStart"/>
      <w:r w:rsidRPr="00E77B11">
        <w:rPr>
          <w:rFonts w:ascii="Times New Roman" w:hAnsi="Times New Roman" w:cs="Times New Roman"/>
          <w:color w:val="auto"/>
        </w:rPr>
        <w:t>Table</w:t>
      </w:r>
      <w:proofErr w:type="spellEnd"/>
      <w:r w:rsidRPr="00E77B11">
        <w:rPr>
          <w:rFonts w:ascii="Times New Roman" w:hAnsi="Times New Roman" w:cs="Times New Roman"/>
          <w:color w:val="auto"/>
        </w:rPr>
        <w:t xml:space="preserve"> 1, Chart 1, Appendix 1</w:t>
      </w:r>
      <w:r w:rsidRPr="00E77B11">
        <w:rPr>
          <w:rFonts w:ascii="Times New Roman" w:hAnsi="Times New Roman" w:cs="Times New Roman"/>
        </w:rPr>
        <w:t>); po wykazie bibliograficznym należy podać ich spis.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Paginacja: arabska, umieszczona na dole strony przy prawym marginesie; numerowanie należy rozpocząć od strony zawierającej spis treści </w:t>
      </w:r>
      <w:r w:rsidRPr="00E77B11">
        <w:rPr>
          <w:rFonts w:ascii="Times New Roman" w:hAnsi="Times New Roman" w:cs="Times New Roman"/>
        </w:rPr>
        <w:br/>
        <w:t>i zakończyć na ostatniej stronie ostatniego spisu (bez załączników); dopuszcza się stosowanie „żywej paginy”.</w:t>
      </w:r>
    </w:p>
    <w:p w:rsidR="008443C4" w:rsidRPr="00E77B11" w:rsidRDefault="008443C4" w:rsidP="008443C4">
      <w:pPr>
        <w:pStyle w:val="Defaul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7B11">
        <w:rPr>
          <w:rFonts w:ascii="Times New Roman" w:hAnsi="Times New Roman" w:cs="Times New Roman"/>
        </w:rPr>
        <w:t xml:space="preserve">Numerowania części pracy (z pominięciem wstępu, zakończenia, bibliografii): w tytułach rozdziałów i podrozdziałów można stosować układy wielorzędowe oznaczone cyframi arabskimi. </w:t>
      </w:r>
    </w:p>
    <w:p w:rsidR="008443C4" w:rsidRPr="00E77B11" w:rsidRDefault="008443C4" w:rsidP="00844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C4" w:rsidRPr="00E77B11" w:rsidRDefault="008443C4" w:rsidP="008443C4">
      <w:pPr>
        <w:rPr>
          <w:rFonts w:ascii="Times New Roman" w:hAnsi="Times New Roman" w:cs="Times New Roman"/>
        </w:rPr>
      </w:pPr>
    </w:p>
    <w:p w:rsidR="00B37BCD" w:rsidRPr="00E77B11" w:rsidRDefault="00B37BCD">
      <w:pPr>
        <w:rPr>
          <w:rFonts w:ascii="Times New Roman" w:hAnsi="Times New Roman" w:cs="Times New Roman"/>
        </w:rPr>
      </w:pPr>
    </w:p>
    <w:sectPr w:rsidR="00B37BCD" w:rsidRPr="00E77B11" w:rsidSect="00CB2F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26C7"/>
    <w:multiLevelType w:val="hybridMultilevel"/>
    <w:tmpl w:val="3B98A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370C"/>
    <w:multiLevelType w:val="hybridMultilevel"/>
    <w:tmpl w:val="CCF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AFE"/>
    <w:multiLevelType w:val="hybridMultilevel"/>
    <w:tmpl w:val="A04C0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17DB"/>
    <w:multiLevelType w:val="hybridMultilevel"/>
    <w:tmpl w:val="CCF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DC3"/>
    <w:multiLevelType w:val="hybridMultilevel"/>
    <w:tmpl w:val="216EE7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D6DEA"/>
    <w:multiLevelType w:val="hybridMultilevel"/>
    <w:tmpl w:val="09FEA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44B1C"/>
    <w:multiLevelType w:val="hybridMultilevel"/>
    <w:tmpl w:val="6CE8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44C4"/>
    <w:multiLevelType w:val="hybridMultilevel"/>
    <w:tmpl w:val="E900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2222"/>
    <w:multiLevelType w:val="hybridMultilevel"/>
    <w:tmpl w:val="6FCC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30E87"/>
    <w:multiLevelType w:val="hybridMultilevel"/>
    <w:tmpl w:val="3E969172"/>
    <w:lvl w:ilvl="0" w:tplc="BF9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5237"/>
    <w:multiLevelType w:val="hybridMultilevel"/>
    <w:tmpl w:val="74F8E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0EF9"/>
    <w:multiLevelType w:val="hybridMultilevel"/>
    <w:tmpl w:val="300E0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6ADD"/>
    <w:multiLevelType w:val="hybridMultilevel"/>
    <w:tmpl w:val="F7BE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4"/>
    <w:rsid w:val="0000390A"/>
    <w:rsid w:val="0030063F"/>
    <w:rsid w:val="005D7098"/>
    <w:rsid w:val="00666732"/>
    <w:rsid w:val="00727507"/>
    <w:rsid w:val="008443C4"/>
    <w:rsid w:val="00B37BCD"/>
    <w:rsid w:val="00CB2FA8"/>
    <w:rsid w:val="00E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D419-1EB6-45EB-A775-639FD06D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3C4"/>
    <w:rPr>
      <w:b/>
      <w:bCs/>
    </w:rPr>
  </w:style>
  <w:style w:type="paragraph" w:styleId="Akapitzlist">
    <w:name w:val="List Paragraph"/>
    <w:basedOn w:val="Normalny"/>
    <w:uiPriority w:val="34"/>
    <w:qFormat/>
    <w:rsid w:val="008443C4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8443C4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Gwizdała</cp:lastModifiedBy>
  <cp:revision>8</cp:revision>
  <cp:lastPrinted>2021-03-05T13:06:00Z</cp:lastPrinted>
  <dcterms:created xsi:type="dcterms:W3CDTF">2020-11-13T20:08:00Z</dcterms:created>
  <dcterms:modified xsi:type="dcterms:W3CDTF">2021-03-05T13:07:00Z</dcterms:modified>
</cp:coreProperties>
</file>