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  <w:r w:rsidRPr="00C77C54">
        <w:rPr>
          <w:rFonts w:eastAsia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E34138" w:rsidRPr="00C77C54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CE33D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Instytut</w:t>
            </w:r>
            <w:r w:rsidR="00EA35E4"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 Humanistyczn</w:t>
            </w:r>
            <w:r w:rsidR="00CE33D2"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o-Artystyczny</w:t>
            </w:r>
          </w:p>
        </w:tc>
      </w:tr>
      <w:tr w:rsidR="00E34138" w:rsidRPr="00C77C54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E34138" w:rsidRPr="00C77C54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C77C54">
              <w:rPr>
                <w:rFonts w:eastAsia="Times New Roman" w:cs="Arial"/>
                <w:i/>
                <w:sz w:val="24"/>
                <w:szCs w:val="24"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34138" w:rsidRPr="00C77C54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34138" w:rsidRPr="00C77C54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34138" w:rsidRPr="00C77C54" w:rsidTr="0051572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A35E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C77C54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Communication</w:t>
            </w:r>
            <w:proofErr w:type="spellEnd"/>
            <w:r w:rsidRPr="00C77C54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7C54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Skills</w:t>
            </w:r>
            <w:proofErr w:type="spellEnd"/>
          </w:p>
        </w:tc>
      </w:tr>
      <w:tr w:rsidR="00E34138" w:rsidRPr="00C77C54" w:rsidTr="0019018E">
        <w:trPr>
          <w:trHeight w:hRule="exact" w:val="47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9A0" w:rsidRPr="00C77C54" w:rsidRDefault="00AA69A0" w:rsidP="00AA69A0">
            <w:pPr>
              <w:rPr>
                <w:rFonts w:cs="Times New Roman"/>
                <w:sz w:val="24"/>
                <w:szCs w:val="24"/>
              </w:rPr>
            </w:pPr>
            <w:r w:rsidRPr="00C77C54">
              <w:rPr>
                <w:rFonts w:cs="Times New Roman"/>
                <w:sz w:val="24"/>
                <w:szCs w:val="24"/>
              </w:rPr>
              <w:t xml:space="preserve">FA-K-08 </w:t>
            </w:r>
          </w:p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C77C54" w:rsidTr="0051572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F639F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zajęcia: </w:t>
            </w:r>
            <w:r w:rsidR="00F639F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kształce</w:t>
            </w: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nia kierunkowego (</w:t>
            </w:r>
            <w:proofErr w:type="spellStart"/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E34138" w:rsidRPr="00C77C54" w:rsidTr="0051572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F639F8" w:rsidP="00F639F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o</w:t>
            </w:r>
            <w:r w:rsidR="00E34138"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bowiązkowy</w:t>
            </w:r>
          </w:p>
        </w:tc>
      </w:tr>
      <w:tr w:rsidR="00E34138" w:rsidRPr="00C77C54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EA35E4"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E34138" w:rsidRPr="00C77C54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E34138" w:rsidRPr="00C77C54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C77C54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A35E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mgr Agnieszka Andrzejewska</w:t>
            </w:r>
            <w:r w:rsidR="00E34138"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34138" w:rsidRPr="00C77C54" w:rsidTr="0051572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5E4" w:rsidRPr="00C77C54" w:rsidRDefault="00EA35E4" w:rsidP="00EA35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mgr Agnieszka Andrzejewska agand@poczta.fm </w:t>
            </w:r>
          </w:p>
        </w:tc>
      </w:tr>
    </w:tbl>
    <w:p w:rsidR="00E34138" w:rsidRPr="00C77C54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C77C54">
        <w:rPr>
          <w:rFonts w:eastAsia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C77C54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C77C54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C77C54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C77C54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C77C54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C77C54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C77C54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A35E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A35E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C77C54">
        <w:rPr>
          <w:rFonts w:eastAsia="Times New Roman" w:cs="Arial"/>
          <w:b/>
          <w:sz w:val="24"/>
          <w:szCs w:val="24"/>
          <w:lang w:eastAsia="ar-SA"/>
        </w:rPr>
        <w:t>3. Cele zajęć</w:t>
      </w:r>
    </w:p>
    <w:p w:rsidR="00EA35E4" w:rsidRPr="00C77C54" w:rsidRDefault="00EA35E4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EA35E4" w:rsidRDefault="00EA35E4" w:rsidP="00EA35E4">
      <w:pPr>
        <w:shd w:val="clear" w:color="auto" w:fill="FFFFFF"/>
        <w:jc w:val="both"/>
        <w:rPr>
          <w:sz w:val="24"/>
          <w:szCs w:val="24"/>
        </w:rPr>
      </w:pPr>
      <w:r w:rsidRPr="00C77C54">
        <w:rPr>
          <w:sz w:val="24"/>
          <w:szCs w:val="24"/>
        </w:rPr>
        <w:t>C</w:t>
      </w:r>
      <w:r w:rsidR="00F639F8">
        <w:rPr>
          <w:sz w:val="24"/>
          <w:szCs w:val="24"/>
        </w:rPr>
        <w:t>1</w:t>
      </w:r>
      <w:r w:rsidRPr="00C77C54">
        <w:rPr>
          <w:sz w:val="24"/>
          <w:szCs w:val="24"/>
        </w:rPr>
        <w:t xml:space="preserve"> – student </w:t>
      </w:r>
      <w:r w:rsidR="006C6746" w:rsidRPr="00C77C54">
        <w:rPr>
          <w:sz w:val="24"/>
          <w:szCs w:val="24"/>
        </w:rPr>
        <w:t>pogłębia ogólną wiedzę humanistyczną</w:t>
      </w:r>
      <w:r w:rsidRPr="00C77C54">
        <w:rPr>
          <w:sz w:val="24"/>
          <w:szCs w:val="24"/>
        </w:rPr>
        <w:t xml:space="preserve">; </w:t>
      </w:r>
    </w:p>
    <w:p w:rsidR="00DD3D85" w:rsidRPr="00C77C54" w:rsidRDefault="00DD3D85" w:rsidP="00DD3D85">
      <w:pPr>
        <w:shd w:val="clear" w:color="auto" w:fill="FFFFFF"/>
        <w:jc w:val="both"/>
        <w:rPr>
          <w:sz w:val="24"/>
          <w:szCs w:val="24"/>
        </w:rPr>
      </w:pPr>
      <w:r w:rsidRPr="00C77C54">
        <w:rPr>
          <w:sz w:val="24"/>
          <w:szCs w:val="24"/>
        </w:rPr>
        <w:t>C</w:t>
      </w:r>
      <w:r>
        <w:rPr>
          <w:sz w:val="24"/>
          <w:szCs w:val="24"/>
        </w:rPr>
        <w:t>2</w:t>
      </w:r>
      <w:r w:rsidRPr="00C77C54">
        <w:rPr>
          <w:sz w:val="24"/>
          <w:szCs w:val="24"/>
        </w:rPr>
        <w:t xml:space="preserve"> – student poznaje strategie konstruowania efektywnych wypowiedzi ustnych i pisemnych;</w:t>
      </w:r>
    </w:p>
    <w:p w:rsidR="00F639F8" w:rsidRPr="00C77C54" w:rsidRDefault="00F639F8" w:rsidP="00F639F8">
      <w:pPr>
        <w:shd w:val="clear" w:color="auto" w:fill="FFFFFF"/>
        <w:jc w:val="both"/>
        <w:rPr>
          <w:sz w:val="24"/>
          <w:szCs w:val="24"/>
        </w:rPr>
      </w:pPr>
      <w:r w:rsidRPr="00C77C54">
        <w:rPr>
          <w:sz w:val="24"/>
          <w:szCs w:val="24"/>
        </w:rPr>
        <w:t>C</w:t>
      </w:r>
      <w:r w:rsidR="00DD3D85">
        <w:rPr>
          <w:sz w:val="24"/>
          <w:szCs w:val="24"/>
        </w:rPr>
        <w:t>3</w:t>
      </w:r>
      <w:r w:rsidRPr="00C77C54">
        <w:rPr>
          <w:sz w:val="24"/>
          <w:szCs w:val="24"/>
        </w:rPr>
        <w:t xml:space="preserve"> – student </w:t>
      </w:r>
      <w:r>
        <w:rPr>
          <w:sz w:val="24"/>
          <w:szCs w:val="24"/>
        </w:rPr>
        <w:t xml:space="preserve">rozwija </w:t>
      </w:r>
      <w:r w:rsidRPr="00C77C54">
        <w:rPr>
          <w:sz w:val="24"/>
          <w:szCs w:val="24"/>
        </w:rPr>
        <w:t>umiejętność płynnego i swobodnego mówienia w języku angielskim;</w:t>
      </w:r>
    </w:p>
    <w:p w:rsidR="00332139" w:rsidRPr="00C77C54" w:rsidRDefault="00EA35E4" w:rsidP="00332139">
      <w:pPr>
        <w:shd w:val="clear" w:color="auto" w:fill="FFFFFF"/>
        <w:jc w:val="both"/>
        <w:rPr>
          <w:sz w:val="24"/>
          <w:szCs w:val="24"/>
        </w:rPr>
      </w:pPr>
      <w:r w:rsidRPr="00C77C54">
        <w:rPr>
          <w:sz w:val="24"/>
          <w:szCs w:val="24"/>
        </w:rPr>
        <w:t>C</w:t>
      </w:r>
      <w:r w:rsidR="000B677D" w:rsidRPr="00C77C54">
        <w:rPr>
          <w:sz w:val="24"/>
          <w:szCs w:val="24"/>
        </w:rPr>
        <w:t>4</w:t>
      </w:r>
      <w:r w:rsidRPr="00C77C54">
        <w:rPr>
          <w:sz w:val="24"/>
          <w:szCs w:val="24"/>
        </w:rPr>
        <w:t xml:space="preserve"> – student nabywa umiejętność </w:t>
      </w:r>
      <w:r w:rsidR="00CE33D2" w:rsidRPr="00C77C54">
        <w:rPr>
          <w:sz w:val="24"/>
          <w:szCs w:val="24"/>
        </w:rPr>
        <w:t>skutecznej komunikacji, aktywnego słuchania, rozwiązywania konfliktów</w:t>
      </w:r>
      <w:r w:rsidRPr="00C77C54">
        <w:rPr>
          <w:sz w:val="24"/>
          <w:szCs w:val="24"/>
        </w:rPr>
        <w:t>.</w:t>
      </w:r>
    </w:p>
    <w:p w:rsidR="00E34138" w:rsidRPr="00C77C54" w:rsidRDefault="00E34138" w:rsidP="00332139">
      <w:pPr>
        <w:shd w:val="clear" w:color="auto" w:fill="FFFFFF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C77C54">
        <w:rPr>
          <w:rFonts w:eastAsia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332139" w:rsidRPr="00C77C54" w:rsidRDefault="00332139" w:rsidP="003321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 w:rsidRPr="00C77C54">
        <w:rPr>
          <w:rFonts w:eastAsia="Cambria" w:cs="Calibri"/>
          <w:sz w:val="24"/>
          <w:szCs w:val="24"/>
        </w:rPr>
        <w:t>Dobra znajomość gramatyki i słownictwa języka angielskiego;</w:t>
      </w:r>
    </w:p>
    <w:p w:rsidR="00332139" w:rsidRPr="00C77C54" w:rsidRDefault="00332139" w:rsidP="003321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 w:rsidRPr="00C77C54">
        <w:rPr>
          <w:rFonts w:eastAsia="Cambria" w:cs="Calibri"/>
          <w:sz w:val="24"/>
          <w:szCs w:val="24"/>
        </w:rPr>
        <w:t>Dobre umiejętności komunika</w:t>
      </w:r>
      <w:r w:rsidR="00CE33D2" w:rsidRPr="00C77C54">
        <w:rPr>
          <w:rFonts w:eastAsia="Cambria" w:cs="Calibri"/>
          <w:sz w:val="24"/>
          <w:szCs w:val="24"/>
        </w:rPr>
        <w:t>cyjne ustne w języku angielskim;</w:t>
      </w:r>
    </w:p>
    <w:p w:rsidR="00CE33D2" w:rsidRPr="00C77C54" w:rsidRDefault="00CE33D2" w:rsidP="0033213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 w:rsidRPr="00C77C54">
        <w:rPr>
          <w:rFonts w:eastAsia="Cambria" w:cs="Calibri"/>
          <w:sz w:val="24"/>
          <w:szCs w:val="24"/>
        </w:rPr>
        <w:t>Elementarna znajomość psychologii relacji międzyludzkich.</w:t>
      </w:r>
    </w:p>
    <w:p w:rsidR="00E34138" w:rsidRPr="00C77C54" w:rsidRDefault="00E34138" w:rsidP="00E34138">
      <w:pPr>
        <w:suppressAutoHyphens/>
        <w:spacing w:after="0" w:line="240" w:lineRule="auto"/>
        <w:jc w:val="both"/>
        <w:rPr>
          <w:rFonts w:eastAsia="Cambria" w:cs="Calibri"/>
          <w:sz w:val="24"/>
          <w:szCs w:val="24"/>
          <w:lang w:eastAsia="ar-SA"/>
        </w:rPr>
      </w:pPr>
    </w:p>
    <w:p w:rsidR="00332139" w:rsidRPr="00C77C54" w:rsidRDefault="00332139" w:rsidP="00E34138">
      <w:pPr>
        <w:suppressAutoHyphens/>
        <w:spacing w:after="0" w:line="240" w:lineRule="auto"/>
        <w:jc w:val="both"/>
        <w:rPr>
          <w:rFonts w:eastAsia="Cambria" w:cs="Calibri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C77C54">
        <w:rPr>
          <w:rFonts w:eastAsia="Times New Roman" w:cs="Calibri"/>
          <w:i/>
          <w:kern w:val="1"/>
          <w:sz w:val="24"/>
          <w:szCs w:val="24"/>
          <w:lang w:eastAsia="ar-SA"/>
        </w:rPr>
        <w:t xml:space="preserve">, </w:t>
      </w: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7067"/>
        <w:gridCol w:w="1999"/>
      </w:tblGrid>
      <w:tr w:rsidR="00E34138" w:rsidRPr="00C77C54" w:rsidTr="00346CC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332139" w:rsidRPr="00C77C54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32139" w:rsidP="00335EDC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kern w:val="24"/>
                <w:sz w:val="24"/>
                <w:szCs w:val="24"/>
              </w:rPr>
              <w:t>W</w:t>
            </w:r>
            <w:r w:rsidR="00BC1C90" w:rsidRPr="00C77C54">
              <w:rPr>
                <w:rFonts w:cs="Calibri"/>
                <w:kern w:val="24"/>
                <w:sz w:val="24"/>
                <w:szCs w:val="24"/>
              </w:rPr>
              <w:t>_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46CC6" w:rsidP="00F639F8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kern w:val="24"/>
                <w:sz w:val="24"/>
                <w:szCs w:val="24"/>
              </w:rPr>
              <w:t>S</w:t>
            </w:r>
            <w:r w:rsidR="00332139" w:rsidRPr="00C77C54">
              <w:rPr>
                <w:rFonts w:cs="Calibri"/>
                <w:kern w:val="24"/>
                <w:sz w:val="24"/>
                <w:szCs w:val="24"/>
              </w:rPr>
              <w:t>tudent pogłębia ogólną wiedzę humanistyczną, związaną z tematami poruszanymi na zajęciach: psychologia, styl</w:t>
            </w:r>
            <w:r w:rsidR="00F639F8">
              <w:rPr>
                <w:rFonts w:cs="Calibri"/>
                <w:kern w:val="24"/>
                <w:sz w:val="24"/>
                <w:szCs w:val="24"/>
              </w:rPr>
              <w:t>e</w:t>
            </w:r>
            <w:r w:rsidR="00332139" w:rsidRPr="00C77C54">
              <w:rPr>
                <w:rFonts w:cs="Calibri"/>
                <w:kern w:val="24"/>
                <w:sz w:val="24"/>
                <w:szCs w:val="24"/>
              </w:rPr>
              <w:t xml:space="preserve"> życia, </w:t>
            </w:r>
            <w:r w:rsidR="00F639F8">
              <w:rPr>
                <w:rFonts w:cs="Calibri"/>
                <w:kern w:val="24"/>
                <w:sz w:val="24"/>
                <w:szCs w:val="24"/>
              </w:rPr>
              <w:t>życie w społeczeństwie i</w:t>
            </w:r>
            <w:r w:rsidR="00332139" w:rsidRPr="00C77C54">
              <w:rPr>
                <w:rFonts w:cs="Calibri"/>
                <w:kern w:val="24"/>
                <w:sz w:val="24"/>
                <w:szCs w:val="24"/>
              </w:rPr>
              <w:t xml:space="preserve"> in.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C77C54" w:rsidRDefault="001A3960" w:rsidP="00F639F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K_W01, K_W0</w:t>
            </w:r>
            <w:r w:rsidR="00F639F8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8, K_W09</w:t>
            </w:r>
          </w:p>
        </w:tc>
      </w:tr>
      <w:tr w:rsidR="00332139" w:rsidRPr="00C77C54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32139" w:rsidP="00335EDC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kern w:val="24"/>
                <w:sz w:val="24"/>
                <w:szCs w:val="24"/>
              </w:rPr>
              <w:t>W</w:t>
            </w:r>
            <w:r w:rsidR="00BC1C90" w:rsidRPr="00C77C54">
              <w:rPr>
                <w:rFonts w:cs="Calibri"/>
                <w:kern w:val="24"/>
                <w:sz w:val="24"/>
                <w:szCs w:val="24"/>
              </w:rPr>
              <w:t>_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32139" w:rsidP="008418DD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 xml:space="preserve">Student pogłębia wiedzę o </w:t>
            </w:r>
            <w:r w:rsidR="00F76066" w:rsidRPr="00C77C54">
              <w:rPr>
                <w:rFonts w:cs="Calibri"/>
                <w:sz w:val="24"/>
                <w:szCs w:val="24"/>
              </w:rPr>
              <w:t xml:space="preserve">strategiach wpływających na atrakcyjność wypowiedzi, m. in. o </w:t>
            </w:r>
            <w:r w:rsidRPr="00C77C54">
              <w:rPr>
                <w:rFonts w:cs="Calibri"/>
                <w:sz w:val="24"/>
                <w:szCs w:val="24"/>
              </w:rPr>
              <w:t>języku ciała</w:t>
            </w:r>
            <w:r w:rsidR="00F76066" w:rsidRPr="00C77C54">
              <w:rPr>
                <w:rFonts w:cs="Calibri"/>
                <w:sz w:val="24"/>
                <w:szCs w:val="24"/>
              </w:rPr>
              <w:t>/przekazie niewerbalnym, o tym jak konstruować spójną i przekonującą wypowiedź ustną</w:t>
            </w:r>
            <w:r w:rsidR="00CE33D2" w:rsidRPr="00C77C54">
              <w:rPr>
                <w:rFonts w:cs="Calibri"/>
                <w:sz w:val="24"/>
                <w:szCs w:val="24"/>
              </w:rPr>
              <w:t>. Student rozwija tzw. „</w:t>
            </w:r>
            <w:r w:rsidR="008418DD" w:rsidRPr="00C77C54">
              <w:rPr>
                <w:rFonts w:cs="Calibri"/>
                <w:sz w:val="24"/>
                <w:szCs w:val="24"/>
              </w:rPr>
              <w:t>umiejętności miękkie</w:t>
            </w:r>
            <w:r w:rsidR="00CE33D2" w:rsidRPr="00C77C54">
              <w:rPr>
                <w:rFonts w:cs="Calibri"/>
                <w:sz w:val="24"/>
                <w:szCs w:val="24"/>
              </w:rPr>
              <w:t>”.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C77C54" w:rsidRDefault="00AF084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K_W01</w:t>
            </w:r>
            <w:r w:rsidR="00F74F0D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, K_W09</w:t>
            </w:r>
          </w:p>
        </w:tc>
      </w:tr>
      <w:tr w:rsidR="00332139" w:rsidRPr="00C77C54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32139" w:rsidP="00AF084F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kern w:val="24"/>
                <w:sz w:val="24"/>
                <w:szCs w:val="24"/>
              </w:rPr>
              <w:t>U</w:t>
            </w:r>
            <w:r w:rsidR="00BC1C90" w:rsidRPr="00C77C54">
              <w:rPr>
                <w:rFonts w:cs="Calibri"/>
                <w:kern w:val="24"/>
                <w:sz w:val="24"/>
                <w:szCs w:val="24"/>
              </w:rPr>
              <w:t>_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>0</w:t>
            </w:r>
            <w:r w:rsidR="00AF084F" w:rsidRPr="00C77C54">
              <w:rPr>
                <w:rFonts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32139" w:rsidP="00AF084F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kern w:val="24"/>
                <w:sz w:val="24"/>
                <w:szCs w:val="24"/>
              </w:rPr>
              <w:t xml:space="preserve">Student potrafi </w:t>
            </w:r>
            <w:r w:rsidR="00F76066" w:rsidRPr="00C77C54">
              <w:rPr>
                <w:rFonts w:cs="Calibri"/>
                <w:kern w:val="24"/>
                <w:sz w:val="24"/>
                <w:szCs w:val="24"/>
              </w:rPr>
              <w:t>argumentować</w:t>
            </w:r>
            <w:r w:rsidR="00AF084F" w:rsidRPr="00C77C54">
              <w:rPr>
                <w:rFonts w:cs="Calibri"/>
                <w:kern w:val="24"/>
                <w:sz w:val="24"/>
                <w:szCs w:val="24"/>
              </w:rPr>
              <w:t xml:space="preserve">, </w:t>
            </w:r>
            <w:r w:rsidR="00F76066" w:rsidRPr="00C77C54">
              <w:rPr>
                <w:rFonts w:cs="Calibri"/>
                <w:kern w:val="24"/>
                <w:sz w:val="24"/>
                <w:szCs w:val="24"/>
              </w:rPr>
              <w:t>odpierać argumenty i uzasadniać swoj</w:t>
            </w:r>
            <w:r w:rsidR="00061576" w:rsidRPr="00C77C54">
              <w:rPr>
                <w:rFonts w:cs="Calibri"/>
                <w:kern w:val="24"/>
                <w:sz w:val="24"/>
                <w:szCs w:val="24"/>
              </w:rPr>
              <w:t>e</w:t>
            </w:r>
            <w:r w:rsidR="00F76066" w:rsidRPr="00C77C54">
              <w:rPr>
                <w:rFonts w:cs="Calibri"/>
                <w:kern w:val="24"/>
                <w:sz w:val="24"/>
                <w:szCs w:val="24"/>
              </w:rPr>
              <w:t xml:space="preserve"> wypowied</w:t>
            </w:r>
            <w:r w:rsidR="00061576" w:rsidRPr="00C77C54">
              <w:rPr>
                <w:rFonts w:cs="Calibri"/>
                <w:kern w:val="24"/>
                <w:sz w:val="24"/>
                <w:szCs w:val="24"/>
              </w:rPr>
              <w:t>zi, a także rozwiązywać konstruktywnie konflikty podczas pracy wspólnej.</w:t>
            </w:r>
            <w:r w:rsidR="00F76066" w:rsidRPr="00C77C54">
              <w:rPr>
                <w:rFonts w:cs="Calibri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C77C54" w:rsidRDefault="00F76066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</w:t>
            </w:r>
            <w:r w:rsidR="00AF084F"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332139" w:rsidRPr="00C77C54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32139" w:rsidP="00AF084F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kern w:val="24"/>
                <w:sz w:val="24"/>
                <w:szCs w:val="24"/>
              </w:rPr>
              <w:t>U</w:t>
            </w:r>
            <w:r w:rsidR="00BC1C90" w:rsidRPr="00C77C54">
              <w:rPr>
                <w:rFonts w:cs="Calibri"/>
                <w:kern w:val="24"/>
                <w:sz w:val="24"/>
                <w:szCs w:val="24"/>
              </w:rPr>
              <w:t>_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>0</w:t>
            </w:r>
            <w:r w:rsidR="00AF084F" w:rsidRPr="00C77C54">
              <w:rPr>
                <w:rFonts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32139" w:rsidP="00335EDC">
            <w:pPr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 xml:space="preserve">Student potrafi tworzyć udane slajdy towarzyszące prezentacji ustnej (aplikacje PowerPoint, </w:t>
            </w:r>
            <w:proofErr w:type="spellStart"/>
            <w:r w:rsidRPr="00C77C54">
              <w:rPr>
                <w:rFonts w:cs="Calibri"/>
                <w:sz w:val="24"/>
                <w:szCs w:val="24"/>
              </w:rPr>
              <w:t>Prezi</w:t>
            </w:r>
            <w:proofErr w:type="spellEnd"/>
            <w:r w:rsidRPr="00C77C54">
              <w:rPr>
                <w:rFonts w:cs="Calibri"/>
                <w:sz w:val="24"/>
                <w:szCs w:val="24"/>
              </w:rPr>
              <w:t xml:space="preserve"> i in.)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C77C54" w:rsidRDefault="00C77C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061576" w:rsidRPr="00C77C54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576" w:rsidRPr="00C77C54" w:rsidRDefault="00061576" w:rsidP="00AF084F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kern w:val="24"/>
                <w:sz w:val="24"/>
                <w:szCs w:val="24"/>
              </w:rPr>
              <w:t>U_0</w:t>
            </w:r>
            <w:r w:rsidR="00AF084F" w:rsidRPr="00C77C54">
              <w:rPr>
                <w:rFonts w:cs="Calibri"/>
                <w:kern w:val="24"/>
                <w:sz w:val="24"/>
                <w:szCs w:val="24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576" w:rsidRPr="00C77C54" w:rsidRDefault="00061576" w:rsidP="00061576">
            <w:pPr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Student zna podstawowe zasady prowadzenia profesjonalnych rozmów telefonicznych i konstruowania pisemnych tekstów biznesowych</w:t>
            </w:r>
            <w:r w:rsidR="00AF084F" w:rsidRPr="00C77C54">
              <w:rPr>
                <w:rFonts w:cs="Calibri"/>
                <w:sz w:val="24"/>
                <w:szCs w:val="24"/>
              </w:rPr>
              <w:t>.</w:t>
            </w:r>
            <w:r w:rsidRPr="00C77C54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576" w:rsidRPr="00C77C54" w:rsidRDefault="00C77C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K_U01, K_U06</w:t>
            </w:r>
          </w:p>
        </w:tc>
      </w:tr>
      <w:tr w:rsidR="00332139" w:rsidRPr="00C77C54" w:rsidTr="00346CC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32139" w:rsidP="00335EDC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kern w:val="24"/>
                <w:sz w:val="24"/>
                <w:szCs w:val="24"/>
              </w:rPr>
              <w:t>K</w:t>
            </w:r>
            <w:r w:rsidR="00BC1C90" w:rsidRPr="00C77C54">
              <w:rPr>
                <w:rFonts w:cs="Calibri"/>
                <w:kern w:val="24"/>
                <w:sz w:val="24"/>
                <w:szCs w:val="24"/>
              </w:rPr>
              <w:t>_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>0</w:t>
            </w:r>
            <w:r w:rsidR="00C77C54" w:rsidRPr="00C77C54">
              <w:rPr>
                <w:rFonts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139" w:rsidRPr="00C77C54" w:rsidRDefault="00332139" w:rsidP="00F74F0D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C77C54">
              <w:rPr>
                <w:rFonts w:cs="Calibri"/>
                <w:kern w:val="24"/>
                <w:sz w:val="24"/>
                <w:szCs w:val="24"/>
              </w:rPr>
              <w:t xml:space="preserve">Student </w:t>
            </w:r>
            <w:r w:rsidR="00F74F0D">
              <w:rPr>
                <w:rFonts w:cs="Calibri"/>
                <w:kern w:val="24"/>
                <w:sz w:val="24"/>
                <w:szCs w:val="24"/>
              </w:rPr>
              <w:t>jest gotowy do interakcji społecznej w języku angielskim; dostrzega błędy własne i innych, potrafi określić ich przyczynę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 xml:space="preserve">; </w:t>
            </w:r>
            <w:r w:rsidR="00282CD8" w:rsidRPr="00C77C54">
              <w:rPr>
                <w:rFonts w:cs="Calibri"/>
                <w:kern w:val="24"/>
                <w:sz w:val="24"/>
                <w:szCs w:val="24"/>
              </w:rPr>
              <w:t>dokonuje k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 xml:space="preserve">onstruktywnej oceny wystąpień własnych i </w:t>
            </w:r>
            <w:r w:rsidR="00CE33D2" w:rsidRPr="00C77C54">
              <w:rPr>
                <w:rFonts w:cs="Calibri"/>
                <w:kern w:val="24"/>
                <w:sz w:val="24"/>
                <w:szCs w:val="24"/>
              </w:rPr>
              <w:t>innych osób o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>raz j</w:t>
            </w:r>
            <w:r w:rsidR="00282CD8" w:rsidRPr="00C77C54">
              <w:rPr>
                <w:rFonts w:cs="Calibri"/>
                <w:kern w:val="24"/>
                <w:sz w:val="24"/>
                <w:szCs w:val="24"/>
              </w:rPr>
              <w:t>ą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 xml:space="preserve"> uzasadni</w:t>
            </w:r>
            <w:r w:rsidR="00282CD8" w:rsidRPr="00C77C54">
              <w:rPr>
                <w:rFonts w:cs="Calibri"/>
                <w:kern w:val="24"/>
                <w:sz w:val="24"/>
                <w:szCs w:val="24"/>
              </w:rPr>
              <w:t>a</w:t>
            </w:r>
            <w:r w:rsidRPr="00C77C54">
              <w:rPr>
                <w:rFonts w:cs="Calibri"/>
                <w:kern w:val="24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139" w:rsidRPr="00C77C54" w:rsidRDefault="00AF084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K_K04</w:t>
            </w:r>
            <w:r w:rsidR="00DD3D85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, K_K03</w:t>
            </w:r>
          </w:p>
        </w:tc>
      </w:tr>
    </w:tbl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622D45"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7F13D2" w:rsidRPr="00C77C54" w:rsidRDefault="007F13D2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C77C54" w:rsidRDefault="007F13D2" w:rsidP="007F13D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eastAsia="Times New Roman" w:cs="Arial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76AE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77C54" w:rsidRDefault="00676AE3" w:rsidP="00335EDC">
            <w:pPr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</w:t>
            </w:r>
            <w:r w:rsidR="00096C38" w:rsidRPr="00C77C54">
              <w:rPr>
                <w:rFonts w:cs="Calibri"/>
                <w:sz w:val="24"/>
                <w:szCs w:val="24"/>
              </w:rPr>
              <w:t>0</w:t>
            </w:r>
            <w:r w:rsidRPr="00C77C5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77C54" w:rsidRDefault="00CE33D2" w:rsidP="00335EDC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 xml:space="preserve">Komunikacja międzyludzka i „soft </w:t>
            </w:r>
            <w:proofErr w:type="spellStart"/>
            <w:r w:rsidRPr="00C77C54">
              <w:rPr>
                <w:rFonts w:cs="Calibri"/>
                <w:sz w:val="24"/>
                <w:szCs w:val="24"/>
              </w:rPr>
              <w:t>skills</w:t>
            </w:r>
            <w:proofErr w:type="spellEnd"/>
            <w:r w:rsidRPr="00C77C54">
              <w:rPr>
                <w:rFonts w:cs="Calibri"/>
                <w:sz w:val="24"/>
                <w:szCs w:val="24"/>
              </w:rPr>
              <w:t>” - wprowadzenie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77C54" w:rsidRDefault="00CE33D2" w:rsidP="00335EDC">
            <w:pPr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676AE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77C54" w:rsidRDefault="00676AE3" w:rsidP="00335EDC">
            <w:pPr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</w:t>
            </w:r>
            <w:r w:rsidR="00096C38" w:rsidRPr="00C77C54">
              <w:rPr>
                <w:rFonts w:cs="Calibri"/>
                <w:sz w:val="24"/>
                <w:szCs w:val="24"/>
              </w:rPr>
              <w:t>0</w:t>
            </w: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77C54" w:rsidRDefault="00CE33D2" w:rsidP="00CE33D2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Prezentacja ustna przed grupą osób; mowa ciała, przekaz niewerbalny.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77C54" w:rsidRDefault="00676AE3" w:rsidP="00335EDC">
            <w:pPr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676AE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77C54" w:rsidRDefault="00676AE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</w:t>
            </w:r>
            <w:r w:rsidR="00096C38" w:rsidRPr="00C77C54">
              <w:rPr>
                <w:rFonts w:cs="Calibri"/>
                <w:sz w:val="24"/>
                <w:szCs w:val="24"/>
              </w:rPr>
              <w:t>0</w:t>
            </w:r>
            <w:r w:rsidRPr="00C77C54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77C54" w:rsidRDefault="00004BA9" w:rsidP="000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 xml:space="preserve">Prezentacja </w:t>
            </w:r>
            <w:proofErr w:type="spellStart"/>
            <w:r w:rsidRPr="00C77C54">
              <w:rPr>
                <w:rFonts w:cs="Calibri"/>
                <w:sz w:val="24"/>
                <w:szCs w:val="24"/>
              </w:rPr>
              <w:t>cd</w:t>
            </w:r>
            <w:proofErr w:type="spellEnd"/>
            <w:r w:rsidRPr="00C77C54">
              <w:rPr>
                <w:rFonts w:cs="Calibri"/>
                <w:sz w:val="24"/>
                <w:szCs w:val="24"/>
              </w:rPr>
              <w:t>. konstruowanie udanych slajdów.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0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Więcej o mowie ciała i gestach.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lastRenderedPageBreak/>
              <w:t>C05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0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Dlaczego słuchanie jest tak ważne? Jak być dobrym słuchaczem.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C06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0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Sekrety udanej debaty.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C07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F639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 xml:space="preserve">Komunikacja osób niepełnosprawnych: napisy filmowe, </w:t>
            </w:r>
            <w:proofErr w:type="spellStart"/>
            <w:r w:rsidR="009B59F3">
              <w:rPr>
                <w:rFonts w:cs="Calibri"/>
                <w:sz w:val="24"/>
                <w:szCs w:val="24"/>
              </w:rPr>
              <w:t>audiodeskrypcja</w:t>
            </w:r>
            <w:proofErr w:type="spellEnd"/>
            <w:r w:rsidR="009B59F3">
              <w:rPr>
                <w:rFonts w:cs="Calibri"/>
                <w:sz w:val="24"/>
                <w:szCs w:val="24"/>
              </w:rPr>
              <w:t>, język migowy</w:t>
            </w:r>
            <w:r w:rsidRPr="00C77C5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C08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0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Tłumaczenie ustne i jego tajniki.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C09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0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Różnice między komunikacją bezpośrednią a zdalną.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 xml:space="preserve">C10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0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C77C54">
              <w:rPr>
                <w:rFonts w:cs="Calibri"/>
                <w:sz w:val="24"/>
                <w:szCs w:val="24"/>
              </w:rPr>
              <w:t>Netykieta</w:t>
            </w:r>
            <w:proofErr w:type="spellEnd"/>
            <w:r w:rsidRPr="00C77C54">
              <w:rPr>
                <w:rFonts w:cs="Calibri"/>
                <w:sz w:val="24"/>
                <w:szCs w:val="24"/>
              </w:rPr>
              <w:t xml:space="preserve">. Jak się zachowywać podczas zajęć/spotkań </w:t>
            </w:r>
            <w:proofErr w:type="spellStart"/>
            <w:r w:rsidRPr="00C77C54">
              <w:rPr>
                <w:rFonts w:cs="Calibri"/>
                <w:sz w:val="24"/>
                <w:szCs w:val="24"/>
              </w:rPr>
              <w:t>online</w:t>
            </w:r>
            <w:proofErr w:type="spellEnd"/>
            <w:r w:rsidRPr="00C77C5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0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Udana rozmowa kwalifikacyjna: jak się przygotować.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004B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O czym należy pamiętać, prowadząc rozmowy telefoniczne.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8200D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0D3" w:rsidRPr="00C77C54" w:rsidRDefault="008200D3" w:rsidP="0082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0D3" w:rsidRPr="00C77C54" w:rsidRDefault="008200D3" w:rsidP="008200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Komunikacja pisemna: jak pisać emaile, pisma, listy itp.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0D3" w:rsidRPr="00C77C54" w:rsidRDefault="008200D3" w:rsidP="00335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676AE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77C54" w:rsidRDefault="008200D3" w:rsidP="008200D3">
            <w:pPr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77C54" w:rsidRDefault="008200D3" w:rsidP="00335EDC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Umiejętność rozwiązywania konfliktów w grupie.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77C54" w:rsidRDefault="008200D3" w:rsidP="008200D3">
            <w:pPr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676AE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77C54" w:rsidRDefault="008200D3" w:rsidP="008073D3">
            <w:pPr>
              <w:jc w:val="center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77C54" w:rsidRDefault="008200D3" w:rsidP="00335EDC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Powtórzenie i utrwalenie materiału.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77C54" w:rsidRDefault="008200D3" w:rsidP="00335EDC">
            <w:pPr>
              <w:jc w:val="right"/>
              <w:rPr>
                <w:rFonts w:cs="Calibri"/>
                <w:sz w:val="24"/>
                <w:szCs w:val="24"/>
              </w:rPr>
            </w:pPr>
            <w:r w:rsidRPr="00C77C54">
              <w:rPr>
                <w:rFonts w:cs="Calibri"/>
                <w:sz w:val="24"/>
                <w:szCs w:val="24"/>
              </w:rPr>
              <w:t>2</w:t>
            </w:r>
          </w:p>
        </w:tc>
      </w:tr>
      <w:tr w:rsidR="00676AE3" w:rsidRPr="00C77C54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AE3" w:rsidRPr="00C77C54" w:rsidRDefault="00676AE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AE3" w:rsidRPr="00C77C54" w:rsidRDefault="00676AE3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E3" w:rsidRPr="00C77C54" w:rsidRDefault="00676AE3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E34138" w:rsidRPr="00C77C54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E34138" w:rsidRPr="00C77C54" w:rsidTr="00EC22E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C77C54" w:rsidTr="00EC22E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C77C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Inne (rozmowy ze studentami, obserwacja studentów)</w:t>
            </w:r>
          </w:p>
        </w:tc>
      </w:tr>
      <w:tr w:rsidR="00E34138" w:rsidRPr="00C77C54" w:rsidTr="00EC22EF">
        <w:trPr>
          <w:trHeight w:val="5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C77C54" w:rsidRDefault="006465F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C22E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C22EF" w:rsidRPr="00C77C54" w:rsidTr="00EC22EF">
        <w:trPr>
          <w:trHeight w:val="258"/>
        </w:trPr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6465F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C77C54" w:rsidTr="00EC22E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6465F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C77C54" w:rsidTr="00EC22E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6465F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C22EF" w:rsidRPr="00C77C54" w:rsidTr="00EC22E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6465F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EF" w:rsidRPr="00C77C54" w:rsidRDefault="00EC22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C77C54" w:rsidTr="00EC22E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8A3A12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C77C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iCs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C77C54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C77C54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CB0A0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C77C54" w:rsidP="00C77C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Analiza </w:t>
            </w:r>
            <w:r w:rsidR="006465FB"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tekstów i filmów </w:t>
            </w:r>
          </w:p>
        </w:tc>
      </w:tr>
      <w:tr w:rsidR="00C77C54" w:rsidRPr="00C77C54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C54" w:rsidRPr="00C77C54" w:rsidRDefault="00C77C54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C54" w:rsidRDefault="00C77C54" w:rsidP="00C77C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Dyskusja ze studentami</w:t>
            </w:r>
          </w:p>
        </w:tc>
      </w:tr>
    </w:tbl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C77C54">
        <w:rPr>
          <w:rFonts w:eastAsia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C77C54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C77C54">
        <w:rPr>
          <w:rFonts w:eastAsia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C77C54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6465FB" w:rsidP="006465F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 xml:space="preserve">Kolokwium </w:t>
            </w:r>
          </w:p>
        </w:tc>
      </w:tr>
      <w:tr w:rsidR="00E34138" w:rsidRPr="00C77C54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6465FB" w:rsidP="006465F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 xml:space="preserve">Kolokwium </w:t>
            </w:r>
          </w:p>
        </w:tc>
      </w:tr>
    </w:tbl>
    <w:p w:rsidR="00E34138" w:rsidRPr="00C77C54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C77C54">
        <w:rPr>
          <w:rFonts w:eastAsia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C77C54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lastRenderedPageBreak/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E34138" w:rsidP="006465F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 xml:space="preserve">Zaliczenie </w:t>
            </w:r>
            <w:r w:rsidR="00EC22EF" w:rsidRPr="00C77C54">
              <w:rPr>
                <w:rFonts w:eastAsia="Times New Roman" w:cs="Arial"/>
                <w:sz w:val="24"/>
                <w:szCs w:val="24"/>
                <w:lang w:eastAsia="ar-SA"/>
              </w:rPr>
              <w:t xml:space="preserve">ćwiczeń na podstawie ocen z dwóch </w:t>
            </w:r>
            <w:r w:rsidR="006465FB" w:rsidRPr="00C77C54">
              <w:rPr>
                <w:rFonts w:eastAsia="Times New Roman" w:cs="Arial"/>
                <w:sz w:val="24"/>
                <w:szCs w:val="24"/>
                <w:lang w:eastAsia="ar-SA"/>
              </w:rPr>
              <w:t>kolokwiów</w:t>
            </w:r>
            <w:r w:rsidR="00EC22EF" w:rsidRPr="00C77C54">
              <w:rPr>
                <w:rFonts w:eastAsia="Times New Roman" w:cs="Arial"/>
                <w:sz w:val="24"/>
                <w:szCs w:val="24"/>
                <w:lang w:eastAsia="ar-SA"/>
              </w:rPr>
              <w:t xml:space="preserve"> (średnia zwykła F1+F2)</w:t>
            </w:r>
          </w:p>
        </w:tc>
      </w:tr>
    </w:tbl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C77C54" w:rsidTr="00C77C5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C77C54" w:rsidTr="00C77C5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1</w:t>
            </w: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; W_0</w:t>
            </w:r>
            <w:r w:rsid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7005CE" w:rsidP="001368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sz w:val="24"/>
                <w:szCs w:val="24"/>
                <w:lang w:eastAsia="ar-SA"/>
              </w:rPr>
              <w:t>Student wykazuje mierną znajomość strategii efektywnej komunikacji i ich znaczenia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7005CE" w:rsidP="0013681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sz w:val="24"/>
                <w:szCs w:val="24"/>
                <w:lang w:eastAsia="ar-SA"/>
              </w:rPr>
              <w:t>Student wykazuje podstawową znajomość strategii efektywnej komunikacji i ich znaczenia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7005CE" w:rsidP="007005C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sz w:val="24"/>
                <w:szCs w:val="24"/>
                <w:lang w:eastAsia="ar-SA"/>
              </w:rPr>
              <w:t>Student wykazuje dobrą znajomość strategii efektywnej komunikacji i ich znaczenia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36814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Jak na ocenę 5,0 – ale mogą się zdarzyć pewne błędy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7005CE" w:rsidP="007005C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sz w:val="24"/>
                <w:szCs w:val="24"/>
                <w:lang w:eastAsia="ar-SA"/>
              </w:rPr>
              <w:t>Student wykazuje bardzo dobrą znajomość strategii efektywnej komunikacji i ich znaczenia</w:t>
            </w:r>
          </w:p>
        </w:tc>
      </w:tr>
      <w:tr w:rsidR="00C77C54" w:rsidRPr="00C77C54" w:rsidTr="00C77C5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54" w:rsidRPr="00C77C54" w:rsidRDefault="00C77C54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U_01</w:t>
            </w: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 – U_03</w:t>
            </w:r>
          </w:p>
          <w:p w:rsidR="00C77C54" w:rsidRPr="00C77C54" w:rsidRDefault="00C77C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  <w:p w:rsidR="00C77C54" w:rsidRPr="00C77C54" w:rsidRDefault="00C77C54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54" w:rsidRPr="00984F53" w:rsidRDefault="00C77C54" w:rsidP="001C7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osiąga z prac pisemnych zaliczeniowych 51 - 60%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54" w:rsidRPr="00984F53" w:rsidRDefault="00C77C54" w:rsidP="001C7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61 – 70%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54" w:rsidRPr="00984F53" w:rsidRDefault="00C77C54" w:rsidP="001C7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71 – 80%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C54" w:rsidRPr="00984F53" w:rsidRDefault="00C77C54" w:rsidP="001C7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81 – 90%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C54" w:rsidRPr="00984F53" w:rsidRDefault="00C77C54" w:rsidP="001C7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91 – 100% punktów</w:t>
            </w:r>
          </w:p>
        </w:tc>
      </w:tr>
      <w:tr w:rsidR="00E34138" w:rsidRPr="00C77C54" w:rsidTr="00C77C5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C77C54" w:rsidP="00C77C5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7005CE" w:rsidP="00C77C5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Zastosowanie przez studenta wiedzy teoretycznej w praktyce (przygotowanie efektywnej prezentacji, napisanie e-maila biznesowego itp.,) pozostawia sporo do życzenia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7005CE" w:rsidP="00C77C5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Zastosowanie przez studenta wiedzy teoretycznej w praktyce (przygotowanie efektywnej prezentacji, napisanie e-maila biznesowego itp.,) dowodzi braków w opanowaniu przedmiotowej wiedzy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7005CE" w:rsidP="00C77C5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Student potrafi nieźle zastosować wiedzę teoretyczną w praktyce: przygotować efektywną prezentację, napisać e-mail biznesowy itp., aczkolwiek wykazuje pewne niedociągnięcia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525C7D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Jak na ocenę 5,0 – ale mogą się zdarzyć niedociągnięcia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7005CE" w:rsidP="00C77C5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Student potrafi z dużym powodzeniem zastosować wiedzę teoretyczną w praktyce: przygotować efektywną prezentację, napisać e-mail biznesowy itp.</w:t>
            </w:r>
          </w:p>
        </w:tc>
      </w:tr>
    </w:tbl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val="en-GB"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C77C54">
        <w:rPr>
          <w:rFonts w:eastAsia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C77C54">
        <w:rPr>
          <w:rFonts w:eastAsia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77C54">
        <w:rPr>
          <w:rFonts w:eastAsia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C77C54">
        <w:rPr>
          <w:rFonts w:eastAsia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77C54">
        <w:rPr>
          <w:rFonts w:eastAsia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C77C54">
        <w:rPr>
          <w:rFonts w:eastAsia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C77C54">
        <w:rPr>
          <w:rFonts w:eastAsia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525C7D" w:rsidRPr="00C77C54" w:rsidRDefault="00525C7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val="en-GB" w:eastAsia="ar-SA"/>
        </w:rPr>
      </w:pPr>
    </w:p>
    <w:p w:rsidR="00525C7D" w:rsidRPr="00C77C54" w:rsidRDefault="00525C7D" w:rsidP="00061576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  <w:lang w:val="en-GB"/>
        </w:rPr>
      </w:pPr>
      <w:r w:rsidRPr="00C77C54">
        <w:rPr>
          <w:rFonts w:cs="Calibri"/>
          <w:i/>
          <w:kern w:val="24"/>
          <w:sz w:val="24"/>
          <w:szCs w:val="24"/>
          <w:lang w:val="en-GB"/>
        </w:rPr>
        <w:t>English for Presentations</w:t>
      </w:r>
      <w:r w:rsidRPr="00C77C54">
        <w:rPr>
          <w:rFonts w:cs="Calibri"/>
          <w:kern w:val="24"/>
          <w:sz w:val="24"/>
          <w:szCs w:val="24"/>
          <w:lang w:val="en-GB"/>
        </w:rPr>
        <w:t xml:space="preserve">, </w:t>
      </w:r>
      <w:r w:rsidR="00061576" w:rsidRPr="00C77C54">
        <w:rPr>
          <w:rFonts w:cs="Calibri"/>
          <w:kern w:val="24"/>
          <w:sz w:val="24"/>
          <w:szCs w:val="24"/>
          <w:lang w:val="en-GB"/>
        </w:rPr>
        <w:t xml:space="preserve">M. </w:t>
      </w:r>
      <w:proofErr w:type="spellStart"/>
      <w:r w:rsidR="00061576" w:rsidRPr="00C77C54">
        <w:rPr>
          <w:rFonts w:cs="Calibri"/>
          <w:kern w:val="24"/>
          <w:sz w:val="24"/>
          <w:szCs w:val="24"/>
          <w:lang w:val="en-GB"/>
        </w:rPr>
        <w:t>Grussendorf</w:t>
      </w:r>
      <w:proofErr w:type="spellEnd"/>
      <w:r w:rsidR="00061576" w:rsidRPr="00C77C54">
        <w:rPr>
          <w:rFonts w:cs="Calibri"/>
          <w:kern w:val="24"/>
          <w:sz w:val="24"/>
          <w:szCs w:val="24"/>
          <w:lang w:val="en-GB"/>
        </w:rPr>
        <w:t xml:space="preserve">, </w:t>
      </w:r>
      <w:r w:rsidRPr="00C77C54">
        <w:rPr>
          <w:rFonts w:cs="Calibri"/>
          <w:kern w:val="24"/>
          <w:sz w:val="24"/>
          <w:szCs w:val="24"/>
          <w:lang w:val="en-GB"/>
        </w:rPr>
        <w:t>Oxford University Press, 2007</w:t>
      </w:r>
    </w:p>
    <w:p w:rsidR="00061576" w:rsidRPr="00C77C54" w:rsidRDefault="00061576" w:rsidP="00061576">
      <w:pPr>
        <w:spacing w:after="0" w:line="276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C77C54">
        <w:rPr>
          <w:rFonts w:eastAsia="Times New Roman" w:cs="Times New Roman"/>
          <w:bCs/>
          <w:i/>
          <w:iCs/>
          <w:sz w:val="24"/>
          <w:szCs w:val="24"/>
          <w:lang w:eastAsia="pl-PL"/>
        </w:rPr>
        <w:t xml:space="preserve">Mowa ciała, </w:t>
      </w:r>
      <w:r w:rsidRPr="00C77C54">
        <w:rPr>
          <w:rFonts w:eastAsia="Times New Roman" w:cs="Times New Roman"/>
          <w:bCs/>
          <w:sz w:val="24"/>
          <w:szCs w:val="24"/>
          <w:lang w:eastAsia="pl-PL"/>
        </w:rPr>
        <w:t xml:space="preserve">Joe Navarro, wyd. </w:t>
      </w:r>
      <w:r w:rsidRPr="00C77C54">
        <w:rPr>
          <w:rFonts w:eastAsia="Times New Roman" w:cs="Times New Roman"/>
          <w:bCs/>
          <w:sz w:val="24"/>
          <w:szCs w:val="24"/>
          <w:lang w:val="en-US" w:eastAsia="pl-PL"/>
        </w:rPr>
        <w:t>G+J, 2011</w:t>
      </w:r>
    </w:p>
    <w:p w:rsidR="00061576" w:rsidRPr="00C77C54" w:rsidRDefault="00061576" w:rsidP="00061576">
      <w:pPr>
        <w:spacing w:after="0" w:line="276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C77C54">
        <w:rPr>
          <w:rFonts w:eastAsia="Times New Roman" w:cs="Times New Roman"/>
          <w:bCs/>
          <w:i/>
          <w:iCs/>
          <w:sz w:val="24"/>
          <w:szCs w:val="24"/>
          <w:lang w:val="en-US" w:eastAsia="pl-PL"/>
        </w:rPr>
        <w:t>Presentation Zen: Simple Ideas on Presentation Design and Delivery</w:t>
      </w:r>
      <w:r w:rsidRPr="00C77C54">
        <w:rPr>
          <w:rFonts w:eastAsia="Times New Roman" w:cs="Times New Roman"/>
          <w:bCs/>
          <w:sz w:val="24"/>
          <w:szCs w:val="24"/>
          <w:lang w:val="en-US" w:eastAsia="pl-PL"/>
        </w:rPr>
        <w:t>, Garr Reynolds, New Riders Pub, 2011</w:t>
      </w:r>
    </w:p>
    <w:p w:rsidR="00061576" w:rsidRPr="00C77C54" w:rsidRDefault="00061576" w:rsidP="00061576">
      <w:pPr>
        <w:spacing w:after="0" w:line="276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C77C54">
        <w:rPr>
          <w:rFonts w:eastAsia="Times New Roman" w:cs="Times New Roman"/>
          <w:bCs/>
          <w:i/>
          <w:iCs/>
          <w:sz w:val="24"/>
          <w:szCs w:val="24"/>
          <w:lang w:val="en-US" w:eastAsia="pl-PL"/>
        </w:rPr>
        <w:t>Nonverbal Messages: Cracking the Code</w:t>
      </w:r>
      <w:r w:rsidRPr="00C77C54">
        <w:rPr>
          <w:rFonts w:eastAsia="Times New Roman" w:cs="Times New Roman"/>
          <w:bCs/>
          <w:sz w:val="24"/>
          <w:szCs w:val="24"/>
          <w:lang w:val="en-US" w:eastAsia="pl-PL"/>
        </w:rPr>
        <w:t xml:space="preserve">, Paul </w:t>
      </w:r>
      <w:proofErr w:type="spellStart"/>
      <w:r w:rsidRPr="00C77C54">
        <w:rPr>
          <w:rFonts w:eastAsia="Times New Roman" w:cs="Times New Roman"/>
          <w:bCs/>
          <w:sz w:val="24"/>
          <w:szCs w:val="24"/>
          <w:lang w:val="en-US" w:eastAsia="pl-PL"/>
        </w:rPr>
        <w:t>Ekman</w:t>
      </w:r>
      <w:proofErr w:type="spellEnd"/>
      <w:r w:rsidRPr="00C77C54">
        <w:rPr>
          <w:rFonts w:eastAsia="Times New Roman" w:cs="Times New Roman"/>
          <w:bCs/>
          <w:sz w:val="24"/>
          <w:szCs w:val="24"/>
          <w:lang w:val="en-US" w:eastAsia="pl-PL"/>
        </w:rPr>
        <w:t xml:space="preserve">, Paul </w:t>
      </w:r>
      <w:proofErr w:type="spellStart"/>
      <w:r w:rsidRPr="00C77C54">
        <w:rPr>
          <w:rFonts w:eastAsia="Times New Roman" w:cs="Times New Roman"/>
          <w:bCs/>
          <w:sz w:val="24"/>
          <w:szCs w:val="24"/>
          <w:lang w:val="en-US" w:eastAsia="pl-PL"/>
        </w:rPr>
        <w:t>Ekman</w:t>
      </w:r>
      <w:proofErr w:type="spellEnd"/>
      <w:r w:rsidRPr="00C77C54">
        <w:rPr>
          <w:rFonts w:eastAsia="Times New Roman" w:cs="Times New Roman"/>
          <w:bCs/>
          <w:sz w:val="24"/>
          <w:szCs w:val="24"/>
          <w:lang w:val="en-US" w:eastAsia="pl-PL"/>
        </w:rPr>
        <w:t xml:space="preserve"> Group, 2016</w:t>
      </w:r>
    </w:p>
    <w:p w:rsidR="00061576" w:rsidRPr="008A3A12" w:rsidRDefault="00D12F2A" w:rsidP="00061576">
      <w:pPr>
        <w:spacing w:after="0" w:line="276" w:lineRule="auto"/>
        <w:rPr>
          <w:sz w:val="24"/>
          <w:szCs w:val="24"/>
          <w:lang w:val="en-US"/>
        </w:rPr>
      </w:pPr>
      <w:hyperlink r:id="rId7" w:history="1">
        <w:r w:rsidR="00061576" w:rsidRPr="000B7733">
          <w:rPr>
            <w:rFonts w:eastAsia="Times New Roman" w:cs="Times New Roman"/>
            <w:bCs/>
            <w:sz w:val="24"/>
            <w:szCs w:val="24"/>
            <w:lang w:val="en-US" w:eastAsia="pl-PL"/>
          </w:rPr>
          <w:t>https://www.youtube.com/c/TED/videos</w:t>
        </w:r>
      </w:hyperlink>
    </w:p>
    <w:p w:rsidR="000B7733" w:rsidRPr="000B7733" w:rsidRDefault="00D12F2A" w:rsidP="000B7733">
      <w:pPr>
        <w:spacing w:after="0"/>
        <w:rPr>
          <w:sz w:val="24"/>
          <w:szCs w:val="24"/>
          <w:lang w:val="en-GB"/>
        </w:rPr>
      </w:pPr>
      <w:hyperlink r:id="rId8" w:history="1">
        <w:r w:rsidR="000B7733" w:rsidRPr="000B7733">
          <w:rPr>
            <w:rStyle w:val="Hipercze"/>
            <w:color w:val="auto"/>
            <w:sz w:val="24"/>
            <w:szCs w:val="24"/>
            <w:u w:val="none"/>
            <w:lang w:val="en-GB"/>
          </w:rPr>
          <w:t>www.bbc.co.uk/news</w:t>
        </w:r>
      </w:hyperlink>
    </w:p>
    <w:p w:rsidR="000B7733" w:rsidRPr="000B7733" w:rsidRDefault="00D12F2A" w:rsidP="000B7733">
      <w:pPr>
        <w:spacing w:after="0"/>
        <w:rPr>
          <w:sz w:val="24"/>
          <w:szCs w:val="24"/>
          <w:lang w:val="en-GB"/>
        </w:rPr>
      </w:pPr>
      <w:hyperlink r:id="rId9" w:history="1">
        <w:r w:rsidR="000B7733" w:rsidRPr="000B7733">
          <w:rPr>
            <w:rStyle w:val="Hipercze"/>
            <w:color w:val="auto"/>
            <w:sz w:val="24"/>
            <w:szCs w:val="24"/>
            <w:u w:val="none"/>
            <w:lang w:val="en-GB"/>
          </w:rPr>
          <w:t>www.bbc.co.uk/sounds</w:t>
        </w:r>
      </w:hyperlink>
      <w:r w:rsidR="000B7733" w:rsidRPr="000B7733">
        <w:rPr>
          <w:sz w:val="24"/>
          <w:szCs w:val="24"/>
          <w:lang w:val="en-US"/>
        </w:rPr>
        <w:t xml:space="preserve"> (stations, podcasts)</w:t>
      </w:r>
      <w:r w:rsidR="000B7733" w:rsidRPr="000B7733">
        <w:rPr>
          <w:sz w:val="24"/>
          <w:szCs w:val="24"/>
          <w:lang w:val="en-GB"/>
        </w:rPr>
        <w:tab/>
      </w:r>
      <w:r w:rsidR="000B7733" w:rsidRPr="000B7733">
        <w:rPr>
          <w:sz w:val="24"/>
          <w:szCs w:val="24"/>
          <w:lang w:val="en-GB"/>
        </w:rPr>
        <w:tab/>
      </w:r>
      <w:r w:rsidR="000B7733" w:rsidRPr="000B7733">
        <w:rPr>
          <w:sz w:val="24"/>
          <w:szCs w:val="24"/>
          <w:lang w:val="en-GB"/>
        </w:rPr>
        <w:tab/>
      </w:r>
    </w:p>
    <w:p w:rsidR="000B7733" w:rsidRPr="000B7733" w:rsidRDefault="00D12F2A" w:rsidP="000B7733">
      <w:pPr>
        <w:spacing w:after="0"/>
        <w:rPr>
          <w:sz w:val="24"/>
          <w:szCs w:val="24"/>
          <w:lang w:val="en-GB"/>
        </w:rPr>
      </w:pPr>
      <w:hyperlink r:id="rId10" w:history="1">
        <w:r w:rsidR="000B7733" w:rsidRPr="000B7733">
          <w:rPr>
            <w:rStyle w:val="Hipercze"/>
            <w:color w:val="auto"/>
            <w:sz w:val="24"/>
            <w:szCs w:val="24"/>
            <w:u w:val="none"/>
            <w:lang w:val="en-GB"/>
          </w:rPr>
          <w:t>www.cnn.com</w:t>
        </w:r>
      </w:hyperlink>
    </w:p>
    <w:p w:rsidR="000B7733" w:rsidRPr="000B7733" w:rsidRDefault="00D12F2A" w:rsidP="000B7733">
      <w:pPr>
        <w:spacing w:after="0"/>
        <w:rPr>
          <w:sz w:val="24"/>
          <w:szCs w:val="24"/>
          <w:lang w:val="en-GB"/>
        </w:rPr>
      </w:pPr>
      <w:hyperlink r:id="rId11" w:history="1">
        <w:r w:rsidR="000B7733" w:rsidRPr="000B7733">
          <w:rPr>
            <w:rStyle w:val="Hipercze"/>
            <w:color w:val="auto"/>
            <w:sz w:val="24"/>
            <w:szCs w:val="24"/>
            <w:u w:val="none"/>
            <w:lang w:val="en-GB"/>
          </w:rPr>
          <w:t>www.youtube.com/user/CNN</w:t>
        </w:r>
      </w:hyperlink>
      <w:r w:rsidR="000B7733" w:rsidRPr="000B7733">
        <w:rPr>
          <w:sz w:val="24"/>
          <w:szCs w:val="24"/>
          <w:lang w:val="en-GB"/>
        </w:rPr>
        <w:t xml:space="preserve"> </w:t>
      </w:r>
    </w:p>
    <w:p w:rsidR="000B7733" w:rsidRPr="000B7733" w:rsidRDefault="00D12F2A" w:rsidP="000B7733">
      <w:pPr>
        <w:spacing w:after="0"/>
        <w:rPr>
          <w:sz w:val="24"/>
          <w:szCs w:val="24"/>
        </w:rPr>
      </w:pPr>
      <w:hyperlink r:id="rId12" w:history="1">
        <w:r w:rsidR="000B7733" w:rsidRPr="000B7733">
          <w:rPr>
            <w:rStyle w:val="Hipercze"/>
            <w:color w:val="auto"/>
            <w:sz w:val="24"/>
            <w:szCs w:val="24"/>
            <w:u w:val="none"/>
          </w:rPr>
          <w:t>www.thenews.pl</w:t>
        </w:r>
      </w:hyperlink>
      <w:r w:rsidR="000B7733" w:rsidRPr="000B7733">
        <w:rPr>
          <w:sz w:val="24"/>
          <w:szCs w:val="24"/>
        </w:rPr>
        <w:t xml:space="preserve"> (Radio Poland)</w:t>
      </w:r>
    </w:p>
    <w:p w:rsidR="000B7733" w:rsidRPr="000B7733" w:rsidRDefault="00D12F2A" w:rsidP="000B7733">
      <w:pPr>
        <w:spacing w:after="0"/>
        <w:rPr>
          <w:sz w:val="24"/>
          <w:szCs w:val="24"/>
        </w:rPr>
      </w:pPr>
      <w:hyperlink r:id="rId13" w:history="1">
        <w:r w:rsidR="000B7733" w:rsidRPr="000B7733">
          <w:rPr>
            <w:rStyle w:val="Hipercze"/>
            <w:color w:val="auto"/>
            <w:sz w:val="24"/>
            <w:szCs w:val="24"/>
            <w:u w:val="none"/>
          </w:rPr>
          <w:t>www.tvn24.pl/tvn24-news-in-English,157,m</w:t>
        </w:r>
      </w:hyperlink>
    </w:p>
    <w:p w:rsidR="00061576" w:rsidRPr="00C77C54" w:rsidRDefault="00061576" w:rsidP="00061576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C77C54">
        <w:rPr>
          <w:rFonts w:eastAsia="Times New Roman" w:cs="Times New Roman"/>
          <w:bCs/>
          <w:sz w:val="24"/>
          <w:szCs w:val="24"/>
          <w:lang w:eastAsia="pl-PL"/>
        </w:rPr>
        <w:t>materiały inne (filmy szkoleniowe/instruktażowe)</w:t>
      </w:r>
    </w:p>
    <w:p w:rsidR="00525C7D" w:rsidRPr="00C77C54" w:rsidRDefault="00AD4BD0" w:rsidP="00061576">
      <w:pPr>
        <w:shd w:val="clear" w:color="auto" w:fill="FFFFFF"/>
        <w:spacing w:after="0" w:line="276" w:lineRule="auto"/>
        <w:jc w:val="both"/>
        <w:rPr>
          <w:rFonts w:cs="Calibri"/>
          <w:kern w:val="24"/>
          <w:sz w:val="24"/>
          <w:szCs w:val="24"/>
        </w:rPr>
      </w:pPr>
      <w:r w:rsidRPr="00C77C54">
        <w:rPr>
          <w:rFonts w:cs="Calibri"/>
          <w:kern w:val="24"/>
          <w:sz w:val="24"/>
          <w:szCs w:val="24"/>
        </w:rPr>
        <w:t>m</w:t>
      </w:r>
      <w:r w:rsidR="00525C7D" w:rsidRPr="00C77C54">
        <w:rPr>
          <w:rFonts w:cs="Calibri"/>
          <w:kern w:val="24"/>
          <w:sz w:val="24"/>
          <w:szCs w:val="24"/>
        </w:rPr>
        <w:t>ateriały własne nauczyciela</w:t>
      </w:r>
    </w:p>
    <w:p w:rsidR="00525C7D" w:rsidRPr="00C77C54" w:rsidRDefault="00525C7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C77C54">
        <w:rPr>
          <w:rFonts w:eastAsia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C77C54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C77C54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C77C54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138" w:rsidRPr="00C77C54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W_01</w:t>
            </w:r>
            <w:r w:rsidR="001B386B">
              <w:rPr>
                <w:rFonts w:eastAsia="Times New Roman" w:cs="Arial"/>
                <w:sz w:val="24"/>
                <w:szCs w:val="24"/>
                <w:lang w:eastAsia="ar-SA"/>
              </w:rPr>
              <w:t>, 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6C6746" w:rsidP="00DD3D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K_W01, K_W0</w:t>
            </w:r>
            <w:r w:rsidR="00DD3D85">
              <w:rPr>
                <w:rFonts w:eastAsia="Times New Roman" w:cs="Arial"/>
                <w:sz w:val="24"/>
                <w:szCs w:val="24"/>
                <w:lang w:eastAsia="ar-SA"/>
              </w:rPr>
              <w:t>8, K_W09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0B677D" w:rsidP="00096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DD3D85">
              <w:rPr>
                <w:rFonts w:eastAsia="Times New Roman" w:cs="Arial"/>
                <w:sz w:val="24"/>
                <w:szCs w:val="24"/>
                <w:lang w:eastAsia="ar-SA"/>
              </w:rPr>
              <w:t>1, 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096C38" w:rsidP="001B38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C01 – C</w:t>
            </w:r>
            <w:r w:rsidR="001B386B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29209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1B386B">
              <w:rPr>
                <w:rFonts w:eastAsia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1B386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E34138" w:rsidRPr="00C77C54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U_01</w:t>
            </w:r>
            <w:r w:rsidR="001B386B">
              <w:rPr>
                <w:rFonts w:eastAsia="Times New Roman" w:cs="Arial"/>
                <w:sz w:val="24"/>
                <w:szCs w:val="24"/>
                <w:lang w:eastAsia="ar-SA"/>
              </w:rPr>
              <w:t xml:space="preserve"> – 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6C6746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K_U01</w:t>
            </w:r>
            <w:r w:rsidR="00DD3D85">
              <w:rPr>
                <w:rFonts w:eastAsia="Times New Roman" w:cs="Arial"/>
                <w:sz w:val="24"/>
                <w:szCs w:val="24"/>
                <w:lang w:eastAsia="ar-SA"/>
              </w:rPr>
              <w:t>, K_U06, K_U08, 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0B677D" w:rsidP="00096C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DD3D85">
              <w:rPr>
                <w:rFonts w:eastAsia="Times New Roman" w:cs="Arial"/>
                <w:sz w:val="24"/>
                <w:szCs w:val="24"/>
                <w:lang w:eastAsia="ar-SA"/>
              </w:rPr>
              <w:t>3, 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096C38" w:rsidP="001B38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C01 – C</w:t>
            </w:r>
            <w:r w:rsidR="001B386B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29209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1B386B">
              <w:rPr>
                <w:rFonts w:eastAsia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1B386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E34138" w:rsidRPr="00C77C54" w:rsidTr="0043563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6C6746" w:rsidP="00DD3D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K_K0</w:t>
            </w:r>
            <w:r w:rsidR="00DD3D85">
              <w:rPr>
                <w:rFonts w:eastAsia="Times New Roman" w:cs="Arial"/>
                <w:sz w:val="24"/>
                <w:szCs w:val="24"/>
                <w:lang w:eastAsia="ar-SA"/>
              </w:rPr>
              <w:t>4, K_K03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0B677D" w:rsidP="00096C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DD3D85">
              <w:rPr>
                <w:rFonts w:eastAsia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096C38" w:rsidP="001B38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C01 – C</w:t>
            </w:r>
            <w:r w:rsidR="001B386B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C77C54" w:rsidRDefault="00292091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1B386B">
              <w:rPr>
                <w:rFonts w:eastAsia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C77C54" w:rsidRDefault="00DD3D85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inne</w:t>
            </w:r>
          </w:p>
        </w:tc>
      </w:tr>
    </w:tbl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C77C54">
        <w:rPr>
          <w:rFonts w:eastAsia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B386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B386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B386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B386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B386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8F1D4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B386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B386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A4165B" w:rsidP="001B3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1B386B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B386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51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A4165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C77C54" w:rsidTr="0051572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Obciążenie studenta zajęciami kształtującymi umiejętności </w:t>
            </w: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1B386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51</w:t>
            </w:r>
          </w:p>
        </w:tc>
      </w:tr>
      <w:tr w:rsidR="00E34138" w:rsidRPr="00C77C54" w:rsidTr="0051572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C77C54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C77C54" w:rsidRDefault="008F1D4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C77C54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77C54">
        <w:rPr>
          <w:rFonts w:eastAsia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77C54">
        <w:rPr>
          <w:rFonts w:eastAsia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C1A6D" w:rsidRPr="00C77C54" w:rsidRDefault="00DC07B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C77C54">
        <w:rPr>
          <w:rFonts w:eastAsia="Times New Roman" w:cs="Times New Roman"/>
          <w:sz w:val="24"/>
          <w:szCs w:val="24"/>
          <w:lang w:eastAsia="ar-SA"/>
        </w:rPr>
        <w:t>Agnieszka Andrzejewska</w:t>
      </w:r>
    </w:p>
    <w:p w:rsidR="00EC1A6D" w:rsidRPr="00C77C54" w:rsidRDefault="00EC1A6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34138" w:rsidRPr="00C77C5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sectPr w:rsidR="00E34138" w:rsidRPr="00C77C54" w:rsidSect="00FB29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13" w:rsidRDefault="005C7713" w:rsidP="00FB2929">
      <w:pPr>
        <w:spacing w:after="0" w:line="240" w:lineRule="auto"/>
      </w:pPr>
      <w:r>
        <w:separator/>
      </w:r>
    </w:p>
  </w:endnote>
  <w:endnote w:type="continuationSeparator" w:id="0">
    <w:p w:rsidR="005C7713" w:rsidRDefault="005C7713" w:rsidP="00FB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C77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D12F2A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D12F2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D3D85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C77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13" w:rsidRDefault="005C7713" w:rsidP="00FB2929">
      <w:pPr>
        <w:spacing w:after="0" w:line="240" w:lineRule="auto"/>
      </w:pPr>
      <w:r>
        <w:separator/>
      </w:r>
    </w:p>
  </w:footnote>
  <w:footnote w:type="continuationSeparator" w:id="0">
    <w:p w:rsidR="005C7713" w:rsidRDefault="005C7713" w:rsidP="00FB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C77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C77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C77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34E2C"/>
    <w:multiLevelType w:val="multilevel"/>
    <w:tmpl w:val="4CF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04BA9"/>
    <w:rsid w:val="000504DE"/>
    <w:rsid w:val="00061576"/>
    <w:rsid w:val="00067094"/>
    <w:rsid w:val="00096C38"/>
    <w:rsid w:val="000B677D"/>
    <w:rsid w:val="000B7733"/>
    <w:rsid w:val="00136814"/>
    <w:rsid w:val="00144D77"/>
    <w:rsid w:val="0019018E"/>
    <w:rsid w:val="001A3960"/>
    <w:rsid w:val="001B386B"/>
    <w:rsid w:val="0022419A"/>
    <w:rsid w:val="00282CD8"/>
    <w:rsid w:val="00292091"/>
    <w:rsid w:val="002B69C0"/>
    <w:rsid w:val="00313D0E"/>
    <w:rsid w:val="00332139"/>
    <w:rsid w:val="00346CC6"/>
    <w:rsid w:val="0035131A"/>
    <w:rsid w:val="00385A1E"/>
    <w:rsid w:val="003A1BAF"/>
    <w:rsid w:val="003B558F"/>
    <w:rsid w:val="003B653F"/>
    <w:rsid w:val="003C45DD"/>
    <w:rsid w:val="0043563F"/>
    <w:rsid w:val="0045293D"/>
    <w:rsid w:val="00513952"/>
    <w:rsid w:val="00525C7D"/>
    <w:rsid w:val="005C7713"/>
    <w:rsid w:val="005D7DE8"/>
    <w:rsid w:val="00622D45"/>
    <w:rsid w:val="0064463A"/>
    <w:rsid w:val="006465FB"/>
    <w:rsid w:val="00675F12"/>
    <w:rsid w:val="00676AE3"/>
    <w:rsid w:val="00682C6E"/>
    <w:rsid w:val="006C6746"/>
    <w:rsid w:val="006F0111"/>
    <w:rsid w:val="007005CE"/>
    <w:rsid w:val="007B034F"/>
    <w:rsid w:val="007F13D2"/>
    <w:rsid w:val="007F2D5E"/>
    <w:rsid w:val="0080572E"/>
    <w:rsid w:val="008073D3"/>
    <w:rsid w:val="00810B0A"/>
    <w:rsid w:val="008200D3"/>
    <w:rsid w:val="00824A4A"/>
    <w:rsid w:val="008418DD"/>
    <w:rsid w:val="00851E8E"/>
    <w:rsid w:val="008A17C6"/>
    <w:rsid w:val="008A3A12"/>
    <w:rsid w:val="008A541A"/>
    <w:rsid w:val="008F1D4B"/>
    <w:rsid w:val="009B59F3"/>
    <w:rsid w:val="00A100A7"/>
    <w:rsid w:val="00A4165B"/>
    <w:rsid w:val="00A61641"/>
    <w:rsid w:val="00A768FE"/>
    <w:rsid w:val="00AA118D"/>
    <w:rsid w:val="00AA69A0"/>
    <w:rsid w:val="00AD4BD0"/>
    <w:rsid w:val="00AF084F"/>
    <w:rsid w:val="00B315C0"/>
    <w:rsid w:val="00B64CBB"/>
    <w:rsid w:val="00B978A0"/>
    <w:rsid w:val="00BA283B"/>
    <w:rsid w:val="00BC1C90"/>
    <w:rsid w:val="00BF75E8"/>
    <w:rsid w:val="00C068DD"/>
    <w:rsid w:val="00C33D98"/>
    <w:rsid w:val="00C77C54"/>
    <w:rsid w:val="00CB0A0A"/>
    <w:rsid w:val="00CE33D2"/>
    <w:rsid w:val="00D12F2A"/>
    <w:rsid w:val="00D21F68"/>
    <w:rsid w:val="00DB4C61"/>
    <w:rsid w:val="00DC07BD"/>
    <w:rsid w:val="00DD3D85"/>
    <w:rsid w:val="00E2246B"/>
    <w:rsid w:val="00E34138"/>
    <w:rsid w:val="00E90C22"/>
    <w:rsid w:val="00EA35E4"/>
    <w:rsid w:val="00EC1A6D"/>
    <w:rsid w:val="00EC22EF"/>
    <w:rsid w:val="00ED6C86"/>
    <w:rsid w:val="00F22A29"/>
    <w:rsid w:val="00F639F8"/>
    <w:rsid w:val="00F74F0D"/>
    <w:rsid w:val="00F76066"/>
    <w:rsid w:val="00FB2929"/>
    <w:rsid w:val="00FD2F6C"/>
    <w:rsid w:val="00F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paragraph" w:styleId="Akapitzlist">
    <w:name w:val="List Paragraph"/>
    <w:basedOn w:val="Normalny"/>
    <w:uiPriority w:val="34"/>
    <w:qFormat/>
    <w:rsid w:val="00824A4A"/>
    <w:pPr>
      <w:spacing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1576"/>
    <w:rPr>
      <w:b/>
      <w:bCs/>
    </w:rPr>
  </w:style>
  <w:style w:type="character" w:styleId="Uwydatnienie">
    <w:name w:val="Emphasis"/>
    <w:basedOn w:val="Domylnaczcionkaakapitu"/>
    <w:uiPriority w:val="20"/>
    <w:qFormat/>
    <w:rsid w:val="00061576"/>
    <w:rPr>
      <w:i/>
      <w:iCs/>
    </w:rPr>
  </w:style>
  <w:style w:type="paragraph" w:customStyle="1" w:styleId="a-spacing-none">
    <w:name w:val="a-spacing-none"/>
    <w:basedOn w:val="Normalny"/>
    <w:rsid w:val="0006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-size-extra-large">
    <w:name w:val="a-size-extra-large"/>
    <w:basedOn w:val="Domylnaczcionkaakapitu"/>
    <w:rsid w:val="00061576"/>
  </w:style>
  <w:style w:type="character" w:styleId="Hipercze">
    <w:name w:val="Hyperlink"/>
    <w:basedOn w:val="Domylnaczcionkaakapitu"/>
    <w:uiPriority w:val="99"/>
    <w:semiHidden/>
    <w:unhideWhenUsed/>
    <w:rsid w:val="00061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" TargetMode="External"/><Relationship Id="rId13" Type="http://schemas.openxmlformats.org/officeDocument/2006/relationships/hyperlink" Target="http://www.tvn24.pl/tvn24-news-in-English,157,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/TED/videos" TargetMode="External"/><Relationship Id="rId12" Type="http://schemas.openxmlformats.org/officeDocument/2006/relationships/hyperlink" Target="http://www.thenews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CN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nn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ound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52</cp:revision>
  <dcterms:created xsi:type="dcterms:W3CDTF">2019-07-15T18:52:00Z</dcterms:created>
  <dcterms:modified xsi:type="dcterms:W3CDTF">2021-05-20T18:14:00Z</dcterms:modified>
</cp:coreProperties>
</file>